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9DFEB" w14:textId="77777777" w:rsidR="000B36E1" w:rsidRPr="00911BD5" w:rsidRDefault="00000000">
      <w:pPr>
        <w:spacing w:before="240" w:line="288" w:lineRule="auto"/>
        <w:rPr>
          <w:rFonts w:asciiTheme="majorHAnsi" w:eastAsia="Play" w:hAnsiTheme="majorHAnsi" w:cs="Play"/>
        </w:rPr>
      </w:pPr>
      <w:bookmarkStart w:id="0" w:name="bookmark=id.zhe9pner7u4z" w:colFirst="0" w:colLast="0"/>
      <w:bookmarkEnd w:id="0"/>
      <w:r w:rsidRPr="00911BD5">
        <w:rPr>
          <w:rFonts w:asciiTheme="majorHAnsi" w:eastAsia="Play" w:hAnsiTheme="majorHAnsi" w:cs="Play"/>
          <w:b/>
          <w:bCs/>
          <w:sz w:val="56"/>
          <w:szCs w:val="56"/>
        </w:rPr>
        <w:t xml:space="preserve">eWAsTER Solution Sheet </w:t>
      </w:r>
    </w:p>
    <w:p w14:paraId="60D0181B" w14:textId="77777777" w:rsidR="000B36E1" w:rsidRPr="00911BD5" w:rsidRDefault="00000000">
      <w:pPr>
        <w:spacing w:before="240" w:line="271" w:lineRule="auto"/>
        <w:rPr>
          <w:rFonts w:asciiTheme="majorHAnsi" w:eastAsia="Play" w:hAnsiTheme="majorHAnsi" w:cs="Play"/>
        </w:rPr>
      </w:pPr>
      <w:bookmarkStart w:id="1" w:name="bookmark=id.4isxdvwukkqb" w:colFirst="0" w:colLast="0"/>
      <w:bookmarkEnd w:id="1"/>
      <w:r w:rsidRPr="00911BD5">
        <w:rPr>
          <w:rFonts w:asciiTheme="majorHAnsi" w:eastAsia="Play" w:hAnsiTheme="majorHAnsi" w:cs="Play"/>
          <w:b/>
          <w:bCs/>
          <w:sz w:val="42"/>
          <w:szCs w:val="42"/>
        </w:rPr>
        <w:t>D.3.4.1 Transfer Package Component</w:t>
      </w:r>
    </w:p>
    <w:p w14:paraId="2A39A691"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Designed for:</w:t>
      </w:r>
      <w:r w:rsidRPr="00911BD5">
        <w:rPr>
          <w:rFonts w:asciiTheme="majorHAnsi" w:eastAsia="Play" w:hAnsiTheme="majorHAnsi" w:cs="Play"/>
        </w:rPr>
        <w:t xml:space="preserve"> Solution Leaders (WEEE BEHAVE, 0WEEE PROCURE, WEEE REUSE)</w:t>
      </w:r>
      <w:r w:rsidRPr="00911BD5">
        <w:rPr>
          <w:rFonts w:asciiTheme="majorHAnsi" w:eastAsia="Play" w:hAnsiTheme="majorHAnsi" w:cs="Play"/>
        </w:rPr>
        <w:br/>
      </w:r>
      <w:r w:rsidRPr="00911BD5">
        <w:rPr>
          <w:rFonts w:asciiTheme="majorHAnsi" w:eastAsia="Play" w:hAnsiTheme="majorHAnsi" w:cs="Play"/>
          <w:b/>
          <w:bCs/>
        </w:rPr>
        <w:t>Maximum time investment:</w:t>
      </w:r>
      <w:r w:rsidRPr="00911BD5">
        <w:rPr>
          <w:rFonts w:asciiTheme="majorHAnsi" w:eastAsia="Play" w:hAnsiTheme="majorHAnsi" w:cs="Play"/>
        </w:rPr>
        <w:t xml:space="preserve"> 2 hours per solution</w:t>
      </w:r>
      <w:r w:rsidRPr="00911BD5">
        <w:rPr>
          <w:rFonts w:asciiTheme="majorHAnsi" w:eastAsia="Play" w:hAnsiTheme="majorHAnsi" w:cs="Play"/>
        </w:rPr>
        <w:br/>
      </w:r>
      <w:r w:rsidRPr="00911BD5">
        <w:rPr>
          <w:rFonts w:asciiTheme="majorHAnsi" w:eastAsia="Play" w:hAnsiTheme="majorHAnsi" w:cs="Play"/>
          <w:b/>
          <w:bCs/>
        </w:rPr>
        <w:t>Goal:</w:t>
      </w:r>
      <w:r w:rsidRPr="00911BD5">
        <w:rPr>
          <w:rFonts w:asciiTheme="majorHAnsi" w:eastAsia="Play" w:hAnsiTheme="majorHAnsi" w:cs="Play"/>
        </w:rPr>
        <w:t xml:space="preserve"> Data autonomy (no PP meetings required) + sufficient coverage for transferability matrix/roadmap</w:t>
      </w:r>
      <w:r w:rsidRPr="00911BD5">
        <w:rPr>
          <w:rFonts w:asciiTheme="majorHAnsi" w:eastAsia="Play" w:hAnsiTheme="majorHAnsi" w:cs="Play"/>
        </w:rPr>
        <w:br/>
      </w:r>
      <w:r w:rsidRPr="00911BD5">
        <w:rPr>
          <w:rFonts w:asciiTheme="majorHAnsi" w:eastAsia="Play" w:hAnsiTheme="majorHAnsi" w:cs="Play"/>
          <w:b/>
          <w:bCs/>
        </w:rPr>
        <w:t>Output quality:</w:t>
      </w:r>
      <w:sdt>
        <w:sdtPr>
          <w:rPr>
            <w:rFonts w:asciiTheme="majorHAnsi" w:hAnsiTheme="majorHAnsi"/>
          </w:rPr>
          <w:tag w:val="goog_rdk_0"/>
          <w:id w:val="-2040946999"/>
        </w:sdtPr>
        <w:sdtContent>
          <w:r w:rsidRPr="00911BD5">
            <w:rPr>
              <w:rFonts w:asciiTheme="majorHAnsi" w:eastAsia="Arial Unicode MS" w:hAnsiTheme="majorHAnsi" w:cs="Arial Unicode MS"/>
            </w:rPr>
            <w:t xml:space="preserve"> 3-page structured input → UCPB integration into D.3.4.1</w:t>
          </w:r>
        </w:sdtContent>
      </w:sdt>
    </w:p>
    <w:p w14:paraId="00B7CB97" w14:textId="77777777" w:rsidR="000B36E1" w:rsidRPr="00911BD5" w:rsidRDefault="007C558F">
      <w:pPr>
        <w:rPr>
          <w:rFonts w:asciiTheme="majorHAnsi" w:eastAsia="Play" w:hAnsiTheme="majorHAnsi" w:cs="Play"/>
        </w:rPr>
      </w:pPr>
      <w:r>
        <w:rPr>
          <w:rFonts w:asciiTheme="majorHAnsi" w:hAnsiTheme="majorHAnsi"/>
          <w:noProof/>
        </w:rPr>
        <w:pict w14:anchorId="5F19EA20">
          <v:rect id="_x0000_i1036" alt="" style="width:353.25pt;height:.05pt;mso-width-percent:0;mso-height-percent:0;mso-width-percent:0;mso-height-percent:0" o:hrpct="733" o:hralign="center" o:hrstd="t" o:hr="t" fillcolor="#a0a0a0" stroked="f"/>
        </w:pict>
      </w:r>
    </w:p>
    <w:p w14:paraId="260A1B33" w14:textId="77777777" w:rsidR="000B36E1" w:rsidRPr="00911BD5" w:rsidRDefault="007C558F">
      <w:pPr>
        <w:rPr>
          <w:rFonts w:asciiTheme="majorHAnsi" w:eastAsia="Play" w:hAnsiTheme="majorHAnsi" w:cs="Play"/>
        </w:rPr>
      </w:pPr>
      <w:r>
        <w:rPr>
          <w:rFonts w:asciiTheme="majorHAnsi" w:hAnsiTheme="majorHAnsi"/>
          <w:noProof/>
        </w:rPr>
        <w:pict w14:anchorId="0D5F083B">
          <v:rect id="_x0000_i1035" alt="" style="width:353.25pt;height:.05pt;mso-width-percent:0;mso-height-percent:0;mso-width-percent:0;mso-height-percent:0" o:hrpct="733" o:hralign="center" o:hrstd="t" o:hr="t" fillcolor="#a0a0a0" stroked="f"/>
        </w:pict>
      </w:r>
    </w:p>
    <w:p w14:paraId="6CC247F8" w14:textId="77777777" w:rsidR="000B36E1" w:rsidRPr="00911BD5" w:rsidRDefault="00000000">
      <w:pPr>
        <w:spacing w:before="240" w:line="271" w:lineRule="auto"/>
        <w:rPr>
          <w:rFonts w:asciiTheme="majorHAnsi" w:eastAsia="Play" w:hAnsiTheme="majorHAnsi" w:cs="Play"/>
        </w:rPr>
      </w:pPr>
      <w:bookmarkStart w:id="2" w:name="bookmark=id.f6at3s9qlotw" w:colFirst="0" w:colLast="0"/>
      <w:bookmarkEnd w:id="2"/>
      <w:r w:rsidRPr="00911BD5">
        <w:rPr>
          <w:rFonts w:asciiTheme="majorHAnsi" w:eastAsia="Play" w:hAnsiTheme="majorHAnsi" w:cs="Play"/>
          <w:b/>
          <w:bCs/>
          <w:sz w:val="42"/>
          <w:szCs w:val="42"/>
        </w:rPr>
        <w:t>SECTION 1: DOCUMENT INFORMATION</w:t>
      </w:r>
    </w:p>
    <w:p w14:paraId="744FF5A1" w14:textId="7E64F5B7"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Solution Name:</w:t>
      </w:r>
      <w:r w:rsidRPr="00911BD5">
        <w:rPr>
          <w:rFonts w:asciiTheme="majorHAnsi" w:eastAsia="Play" w:hAnsiTheme="majorHAnsi" w:cs="Play"/>
        </w:rPr>
        <w:br/>
        <w:t>0WEEE PROCURE</w:t>
      </w:r>
    </w:p>
    <w:p w14:paraId="438DD9B3" w14:textId="092C56DF" w:rsidR="00E26A20" w:rsidRPr="00911BD5" w:rsidRDefault="00000000" w:rsidP="00E26A20">
      <w:pPr>
        <w:spacing w:after="210"/>
        <w:rPr>
          <w:rFonts w:asciiTheme="majorHAnsi" w:eastAsia="Play" w:hAnsiTheme="majorHAnsi" w:cs="Play"/>
        </w:rPr>
      </w:pPr>
      <w:r w:rsidRPr="00911BD5">
        <w:rPr>
          <w:rFonts w:asciiTheme="majorHAnsi" w:eastAsia="Play" w:hAnsiTheme="majorHAnsi" w:cs="Play"/>
          <w:b/>
          <w:bCs/>
        </w:rPr>
        <w:t>Solution Leader (Primary Coordinator):</w:t>
      </w:r>
    </w:p>
    <w:p w14:paraId="3A8F25BD" w14:textId="72386240" w:rsidR="000B36E1" w:rsidRPr="00911BD5" w:rsidRDefault="00E26A20" w:rsidP="00E26A20">
      <w:pPr>
        <w:spacing w:after="210"/>
        <w:rPr>
          <w:rFonts w:asciiTheme="majorHAnsi" w:eastAsia="Play" w:hAnsiTheme="majorHAnsi" w:cs="Play"/>
        </w:rPr>
      </w:pPr>
      <w:r w:rsidRPr="00911BD5">
        <w:rPr>
          <w:rFonts w:asciiTheme="majorHAnsi" w:eastAsia="Play" w:hAnsiTheme="majorHAnsi" w:cs="Play"/>
        </w:rPr>
        <w:t xml:space="preserve">Slađana Maslać, </w:t>
      </w:r>
      <w:r w:rsidR="008F3C76" w:rsidRPr="00911BD5">
        <w:rPr>
          <w:rFonts w:asciiTheme="majorHAnsi" w:eastAsia="Play" w:hAnsiTheme="majorHAnsi" w:cs="Play"/>
        </w:rPr>
        <w:t xml:space="preserve">MUNICIPALITY OF </w:t>
      </w:r>
      <w:r w:rsidRPr="00911BD5">
        <w:rPr>
          <w:rFonts w:asciiTheme="majorHAnsi" w:eastAsia="Play" w:hAnsiTheme="majorHAnsi" w:cs="Play"/>
        </w:rPr>
        <w:t>NEUM</w:t>
      </w:r>
    </w:p>
    <w:p w14:paraId="20A78E11" w14:textId="5BBCE341"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Number of Participating Territories:</w:t>
      </w:r>
      <w:r w:rsidRPr="00911BD5">
        <w:rPr>
          <w:rFonts w:asciiTheme="majorHAnsi" w:eastAsia="Play" w:hAnsiTheme="majorHAnsi" w:cs="Play"/>
        </w:rPr>
        <w:br/>
      </w:r>
      <w:r w:rsidR="00E26A20" w:rsidRPr="00911BD5">
        <w:rPr>
          <w:rFonts w:asciiTheme="majorHAnsi" w:eastAsia="Play" w:hAnsiTheme="majorHAnsi" w:cs="Play"/>
        </w:rPr>
        <w:t>2</w:t>
      </w:r>
      <w:r w:rsidRPr="00911BD5">
        <w:rPr>
          <w:rFonts w:asciiTheme="majorHAnsi" w:eastAsia="Play" w:hAnsiTheme="majorHAnsi" w:cs="Play"/>
        </w:rPr>
        <w:t xml:space="preserve"> territories</w:t>
      </w:r>
      <w:r w:rsidR="00E26A20" w:rsidRPr="00911BD5">
        <w:rPr>
          <w:rFonts w:asciiTheme="majorHAnsi" w:eastAsia="Play" w:hAnsiTheme="majorHAnsi" w:cs="Play"/>
        </w:rPr>
        <w:t>/countries</w:t>
      </w:r>
    </w:p>
    <w:p w14:paraId="5701E3D0" w14:textId="636C9F92"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Participating Partners:</w:t>
      </w:r>
    </w:p>
    <w:p w14:paraId="7E8D80E5" w14:textId="76954CAC" w:rsidR="000B36E1" w:rsidRPr="00911BD5" w:rsidRDefault="00000000">
      <w:pPr>
        <w:numPr>
          <w:ilvl w:val="0"/>
          <w:numId w:val="3"/>
        </w:numPr>
        <w:rPr>
          <w:rFonts w:asciiTheme="majorHAnsi" w:eastAsia="Play" w:hAnsiTheme="majorHAnsi" w:cs="Play"/>
        </w:rPr>
      </w:pPr>
      <w:r w:rsidRPr="00911BD5">
        <w:rPr>
          <w:rFonts w:asciiTheme="majorHAnsi" w:eastAsia="Play" w:hAnsiTheme="majorHAnsi" w:cs="Play"/>
        </w:rPr>
        <w:t>UBBSLA</w:t>
      </w:r>
      <w:r w:rsidR="008F3C76" w:rsidRPr="00911BD5">
        <w:rPr>
          <w:rFonts w:asciiTheme="majorHAnsi" w:eastAsia="Play" w:hAnsiTheme="majorHAnsi" w:cs="Play"/>
        </w:rPr>
        <w:t xml:space="preserve">, </w:t>
      </w:r>
      <w:r w:rsidRPr="00911BD5">
        <w:rPr>
          <w:rFonts w:asciiTheme="majorHAnsi" w:eastAsia="Play" w:hAnsiTheme="majorHAnsi" w:cs="Play"/>
        </w:rPr>
        <w:t>Bulgaria</w:t>
      </w:r>
    </w:p>
    <w:p w14:paraId="1596C555" w14:textId="77D55E71" w:rsidR="000B36E1" w:rsidRPr="00911BD5" w:rsidRDefault="00000000">
      <w:pPr>
        <w:numPr>
          <w:ilvl w:val="0"/>
          <w:numId w:val="3"/>
        </w:numPr>
        <w:rPr>
          <w:rFonts w:asciiTheme="majorHAnsi" w:eastAsia="Play" w:hAnsiTheme="majorHAnsi" w:cs="Play"/>
        </w:rPr>
      </w:pPr>
      <w:r w:rsidRPr="00911BD5">
        <w:rPr>
          <w:rFonts w:asciiTheme="majorHAnsi" w:eastAsia="Play" w:hAnsiTheme="majorHAnsi" w:cs="Play"/>
        </w:rPr>
        <w:t>Marche, Italy</w:t>
      </w:r>
    </w:p>
    <w:p w14:paraId="3559CF22" w14:textId="7641EDB8" w:rsidR="008F3C76" w:rsidRPr="00911BD5" w:rsidRDefault="008F3C76">
      <w:pPr>
        <w:numPr>
          <w:ilvl w:val="0"/>
          <w:numId w:val="3"/>
        </w:numPr>
        <w:rPr>
          <w:rFonts w:asciiTheme="majorHAnsi" w:eastAsia="Play" w:hAnsiTheme="majorHAnsi" w:cs="Play"/>
        </w:rPr>
      </w:pPr>
      <w:r w:rsidRPr="00911BD5">
        <w:rPr>
          <w:rFonts w:asciiTheme="majorHAnsi" w:eastAsia="Play" w:hAnsiTheme="majorHAnsi" w:cs="Play"/>
        </w:rPr>
        <w:t>NEUM, BA (Non-implementing partner)</w:t>
      </w:r>
    </w:p>
    <w:p w14:paraId="31839DB6" w14:textId="0591BEAF"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Sheet Version &amp; Status:</w:t>
      </w:r>
      <w:sdt>
        <w:sdtPr>
          <w:rPr>
            <w:rFonts w:asciiTheme="majorHAnsi" w:hAnsiTheme="majorHAnsi"/>
          </w:rPr>
          <w:tag w:val="goog_rdk_1"/>
          <w:id w:val="1448502657"/>
        </w:sdtPr>
        <w:sdtContent>
          <w:r w:rsidRPr="00911BD5">
            <w:rPr>
              <w:rFonts w:asciiTheme="majorHAnsi" w:eastAsia="Arial Unicode MS" w:hAnsiTheme="majorHAnsi" w:cs="Arial Unicode MS"/>
            </w:rPr>
            <w:br/>
          </w:r>
          <w:r w:rsidR="000D6256"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v1.0 Draft ☐ v2.0 CO Review ☐ v3.0 Approved</w:t>
          </w:r>
        </w:sdtContent>
      </w:sdt>
    </w:p>
    <w:p w14:paraId="2146133B" w14:textId="5D906F75"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Date Completed:</w:t>
      </w:r>
      <w:r w:rsidRPr="00911BD5">
        <w:rPr>
          <w:rFonts w:asciiTheme="majorHAnsi" w:eastAsia="Play" w:hAnsiTheme="majorHAnsi" w:cs="Play"/>
        </w:rPr>
        <w:br/>
      </w:r>
      <w:r w:rsidR="008F3C76" w:rsidRPr="00911BD5">
        <w:rPr>
          <w:rFonts w:asciiTheme="majorHAnsi" w:eastAsia="Play" w:hAnsiTheme="majorHAnsi" w:cs="Play"/>
        </w:rPr>
        <w:t>22</w:t>
      </w:r>
      <w:r w:rsidR="000D6256" w:rsidRPr="00911BD5">
        <w:rPr>
          <w:rFonts w:asciiTheme="majorHAnsi" w:eastAsia="Play" w:hAnsiTheme="majorHAnsi" w:cs="Play"/>
        </w:rPr>
        <w:t>.0</w:t>
      </w:r>
      <w:r w:rsidR="008F3C76" w:rsidRPr="00911BD5">
        <w:rPr>
          <w:rFonts w:asciiTheme="majorHAnsi" w:eastAsia="Play" w:hAnsiTheme="majorHAnsi" w:cs="Play"/>
        </w:rPr>
        <w:t>5</w:t>
      </w:r>
      <w:r w:rsidR="000D6256" w:rsidRPr="00911BD5">
        <w:rPr>
          <w:rFonts w:asciiTheme="majorHAnsi" w:eastAsia="Play" w:hAnsiTheme="majorHAnsi" w:cs="Play"/>
        </w:rPr>
        <w:t>.2026</w:t>
      </w:r>
    </w:p>
    <w:p w14:paraId="185C762F" w14:textId="6BCA6669"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WP2 Final Report Reference:</w:t>
      </w:r>
      <w:r w:rsidRPr="00911BD5">
        <w:rPr>
          <w:rFonts w:asciiTheme="majorHAnsi" w:eastAsia="Play" w:hAnsiTheme="majorHAnsi" w:cs="Play"/>
        </w:rPr>
        <w:br/>
        <w:t xml:space="preserve">WEEE </w:t>
      </w:r>
      <w:r w:rsidR="000D6256" w:rsidRPr="00911BD5">
        <w:rPr>
          <w:rFonts w:asciiTheme="majorHAnsi" w:eastAsia="Play" w:hAnsiTheme="majorHAnsi" w:cs="Play"/>
        </w:rPr>
        <w:t>PROCURE</w:t>
      </w:r>
      <w:r w:rsidRPr="00911BD5">
        <w:rPr>
          <w:rFonts w:asciiTheme="majorHAnsi" w:eastAsia="Play" w:hAnsiTheme="majorHAnsi" w:cs="Play"/>
        </w:rPr>
        <w:t xml:space="preserve"> WP2 Final Report, </w:t>
      </w:r>
      <w:r w:rsidR="008F3C76" w:rsidRPr="00911BD5">
        <w:rPr>
          <w:rFonts w:asciiTheme="majorHAnsi" w:eastAsia="Play" w:hAnsiTheme="majorHAnsi" w:cs="Play"/>
        </w:rPr>
        <w:t>22 May</w:t>
      </w:r>
      <w:r w:rsidRPr="00911BD5">
        <w:rPr>
          <w:rFonts w:asciiTheme="majorHAnsi" w:eastAsia="Play" w:hAnsiTheme="majorHAnsi" w:cs="Play"/>
        </w:rPr>
        <w:t xml:space="preserve"> 2026</w:t>
      </w:r>
    </w:p>
    <w:p w14:paraId="2E2EA1F2" w14:textId="77777777" w:rsidR="000B36E1" w:rsidRPr="00911BD5" w:rsidRDefault="007C558F">
      <w:pPr>
        <w:rPr>
          <w:rFonts w:asciiTheme="majorHAnsi" w:eastAsia="Play" w:hAnsiTheme="majorHAnsi" w:cs="Play"/>
        </w:rPr>
      </w:pPr>
      <w:r>
        <w:rPr>
          <w:rFonts w:asciiTheme="majorHAnsi" w:hAnsiTheme="majorHAnsi"/>
          <w:noProof/>
        </w:rPr>
        <w:pict w14:anchorId="7E7EA7F2">
          <v:rect id="_x0000_i1034" alt="" style="width:353.25pt;height:.05pt;mso-width-percent:0;mso-height-percent:0;mso-width-percent:0;mso-height-percent:0" o:hrpct="733" o:hralign="center" o:hrstd="t" o:hr="t" fillcolor="#a0a0a0" stroked="f"/>
        </w:pict>
      </w:r>
    </w:p>
    <w:p w14:paraId="4E079595" w14:textId="77777777" w:rsidR="000B36E1" w:rsidRPr="00911BD5" w:rsidRDefault="00000000">
      <w:pPr>
        <w:spacing w:before="240" w:line="271" w:lineRule="auto"/>
        <w:rPr>
          <w:rFonts w:asciiTheme="majorHAnsi" w:eastAsia="Play" w:hAnsiTheme="majorHAnsi" w:cs="Play"/>
        </w:rPr>
      </w:pPr>
      <w:bookmarkStart w:id="3" w:name="bookmark=id.ua08ws2vi17y" w:colFirst="0" w:colLast="0"/>
      <w:bookmarkEnd w:id="3"/>
      <w:r w:rsidRPr="00911BD5">
        <w:rPr>
          <w:rFonts w:asciiTheme="majorHAnsi" w:eastAsia="Play" w:hAnsiTheme="majorHAnsi" w:cs="Play"/>
          <w:b/>
          <w:bCs/>
          <w:sz w:val="42"/>
          <w:szCs w:val="42"/>
        </w:rPr>
        <w:t>SECTION 2: EXECUTIVE SUMMARY (300 words max)</w:t>
      </w:r>
    </w:p>
    <w:p w14:paraId="2A12C1B4" w14:textId="77777777" w:rsidR="00520260" w:rsidRPr="00911BD5" w:rsidRDefault="00000000" w:rsidP="00520260">
      <w:pPr>
        <w:spacing w:before="240" w:line="271" w:lineRule="auto"/>
        <w:rPr>
          <w:rFonts w:asciiTheme="majorHAnsi" w:eastAsia="Play" w:hAnsiTheme="majorHAnsi" w:cs="Play"/>
        </w:rPr>
      </w:pPr>
      <w:bookmarkStart w:id="4" w:name="bookmark=id.1fr3tgixs9lq" w:colFirst="0" w:colLast="0"/>
      <w:bookmarkEnd w:id="4"/>
      <w:r w:rsidRPr="00911BD5">
        <w:rPr>
          <w:rFonts w:asciiTheme="majorHAnsi" w:eastAsia="Play" w:hAnsiTheme="majorHAnsi" w:cs="Play"/>
          <w:b/>
          <w:bCs/>
          <w:sz w:val="33"/>
          <w:szCs w:val="33"/>
        </w:rPr>
        <w:lastRenderedPageBreak/>
        <w:t>2.1 Problem Addressed</w:t>
      </w:r>
    </w:p>
    <w:p w14:paraId="02BB6B62" w14:textId="2C9DECC9" w:rsidR="000B36E1" w:rsidRPr="00911BD5" w:rsidRDefault="00520260" w:rsidP="00520260">
      <w:pPr>
        <w:spacing w:before="240" w:line="271" w:lineRule="auto"/>
        <w:rPr>
          <w:rFonts w:asciiTheme="majorHAnsi" w:eastAsia="Play" w:hAnsiTheme="majorHAnsi" w:cs="Play"/>
        </w:rPr>
      </w:pPr>
      <w:r w:rsidRPr="00911BD5">
        <w:rPr>
          <w:rFonts w:asciiTheme="majorHAnsi" w:eastAsia="Play" w:hAnsiTheme="majorHAnsi" w:cs="Play"/>
        </w:rPr>
        <w:t>The pilot addresses the challenges of traditional linear “purchase-use-dispose” models in public procurement, which often lack structured reuse networks. Key barriers include rigid public accounting systems, technical concerns regarding secure data sanitisation and a general lack of institutional experience with circular procurement.</w:t>
      </w:r>
    </w:p>
    <w:p w14:paraId="6B1340CD" w14:textId="77777777" w:rsidR="000B36E1" w:rsidRPr="00911BD5" w:rsidRDefault="00000000">
      <w:pPr>
        <w:spacing w:before="240" w:line="271" w:lineRule="auto"/>
        <w:rPr>
          <w:rFonts w:asciiTheme="majorHAnsi" w:eastAsia="Play" w:hAnsiTheme="majorHAnsi" w:cs="Play"/>
        </w:rPr>
      </w:pPr>
      <w:bookmarkStart w:id="5" w:name="bookmark=id.dcqv8ydtkkak" w:colFirst="0" w:colLast="0"/>
      <w:bookmarkEnd w:id="5"/>
      <w:r w:rsidRPr="00911BD5">
        <w:rPr>
          <w:rFonts w:asciiTheme="majorHAnsi" w:eastAsia="Play" w:hAnsiTheme="majorHAnsi" w:cs="Play"/>
          <w:b/>
          <w:bCs/>
          <w:sz w:val="33"/>
          <w:szCs w:val="33"/>
        </w:rPr>
        <w:t>2.2 Core Innovation</w:t>
      </w:r>
    </w:p>
    <w:p w14:paraId="7DFB416F" w14:textId="4EC7C879" w:rsidR="000B36E1" w:rsidRPr="00911BD5" w:rsidRDefault="00520260" w:rsidP="00520260">
      <w:pPr>
        <w:spacing w:after="210"/>
        <w:rPr>
          <w:rFonts w:asciiTheme="majorHAnsi" w:eastAsia="Play" w:hAnsiTheme="majorHAnsi" w:cs="Play"/>
        </w:rPr>
      </w:pPr>
      <w:r w:rsidRPr="00911BD5">
        <w:rPr>
          <w:rFonts w:asciiTheme="majorHAnsi" w:eastAsia="Play" w:hAnsiTheme="majorHAnsi" w:cs="Play"/>
        </w:rPr>
        <w:t>The solution focuses on a context-adapted circular transition via two main models: Circular Ownership in Italy, using technical schools as hubs to assess and refurbish decommissioned public IT assets and a Digital Exchange Platform (EESwap/TechSwap) in Bulgaria to facilitate the direct exchange, reuse, and recycling of equipment among municipalities and citizens</w:t>
      </w:r>
      <w:r w:rsidR="008F3C76" w:rsidRPr="00911BD5">
        <w:rPr>
          <w:rFonts w:asciiTheme="majorHAnsi" w:eastAsia="Play" w:hAnsiTheme="majorHAnsi" w:cs="Play"/>
        </w:rPr>
        <w:t>.</w:t>
      </w:r>
    </w:p>
    <w:p w14:paraId="2B0A4AD8" w14:textId="77777777" w:rsidR="000B36E1" w:rsidRPr="00911BD5" w:rsidRDefault="00000000">
      <w:pPr>
        <w:spacing w:before="240" w:line="271" w:lineRule="auto"/>
        <w:rPr>
          <w:rFonts w:asciiTheme="majorHAnsi" w:eastAsia="Play" w:hAnsiTheme="majorHAnsi" w:cs="Play"/>
        </w:rPr>
      </w:pPr>
      <w:bookmarkStart w:id="6" w:name="bookmark=id.lwwbkrs5t817" w:colFirst="0" w:colLast="0"/>
      <w:bookmarkEnd w:id="6"/>
      <w:r w:rsidRPr="00911BD5">
        <w:rPr>
          <w:rFonts w:asciiTheme="majorHAnsi" w:eastAsia="Play" w:hAnsiTheme="majorHAnsi" w:cs="Play"/>
          <w:b/>
          <w:bCs/>
          <w:sz w:val="33"/>
          <w:szCs w:val="33"/>
        </w:rPr>
        <w:t>2.3 Key WP2 Results (5 bullets, quantified)</w:t>
      </w:r>
    </w:p>
    <w:p w14:paraId="5AB689D2" w14:textId="48A628C1" w:rsidR="00520260" w:rsidRPr="00911BD5" w:rsidRDefault="00702462" w:rsidP="00520260">
      <w:pPr>
        <w:numPr>
          <w:ilvl w:val="0"/>
          <w:numId w:val="4"/>
        </w:numPr>
        <w:rPr>
          <w:rFonts w:asciiTheme="majorHAnsi" w:eastAsia="Play" w:hAnsiTheme="majorHAnsi" w:cs="Play"/>
        </w:rPr>
      </w:pPr>
      <w:bookmarkStart w:id="7" w:name="_Hlk230875432"/>
      <w:r w:rsidRPr="00911BD5">
        <w:rPr>
          <w:rFonts w:asciiTheme="majorHAnsi" w:eastAsia="Play" w:hAnsiTheme="majorHAnsi" w:cs="Play"/>
          <w:b/>
          <w:bCs/>
        </w:rPr>
        <w:t>Devices assessed for reuse</w:t>
      </w:r>
      <w:r w:rsidR="00520260" w:rsidRPr="00911BD5">
        <w:rPr>
          <w:rFonts w:asciiTheme="majorHAnsi" w:eastAsia="Play" w:hAnsiTheme="majorHAnsi" w:cs="Play"/>
        </w:rPr>
        <w:t xml:space="preserve">: </w:t>
      </w:r>
      <w:r w:rsidR="008F3C76" w:rsidRPr="00911BD5">
        <w:rPr>
          <w:rFonts w:asciiTheme="majorHAnsi" w:eastAsia="Play" w:hAnsiTheme="majorHAnsi" w:cs="Play"/>
        </w:rPr>
        <w:t>300 units screened (Target: 400).</w:t>
      </w:r>
      <w:r w:rsidR="00E23992">
        <w:rPr>
          <w:rFonts w:asciiTheme="majorHAnsi" w:eastAsia="Play" w:hAnsiTheme="majorHAnsi" w:cs="Play"/>
        </w:rPr>
        <w:t xml:space="preserve"> (Refurbishing Capacity)</w:t>
      </w:r>
    </w:p>
    <w:p w14:paraId="27D21269" w14:textId="04010B72" w:rsidR="00520260" w:rsidRPr="00911BD5" w:rsidRDefault="00E23992" w:rsidP="00520260">
      <w:pPr>
        <w:numPr>
          <w:ilvl w:val="0"/>
          <w:numId w:val="4"/>
        </w:numPr>
        <w:rPr>
          <w:rFonts w:asciiTheme="majorHAnsi" w:eastAsia="Play" w:hAnsiTheme="majorHAnsi" w:cs="Play"/>
        </w:rPr>
      </w:pPr>
      <w:r>
        <w:rPr>
          <w:rFonts w:asciiTheme="majorHAnsi" w:eastAsia="Play" w:hAnsiTheme="majorHAnsi" w:cs="Play"/>
          <w:b/>
          <w:bCs/>
        </w:rPr>
        <w:t>Devices refurbished or exchanged</w:t>
      </w:r>
      <w:r w:rsidR="00520260" w:rsidRPr="00911BD5">
        <w:rPr>
          <w:rFonts w:asciiTheme="majorHAnsi" w:eastAsia="Play" w:hAnsiTheme="majorHAnsi" w:cs="Play"/>
        </w:rPr>
        <w:t xml:space="preserve">: </w:t>
      </w:r>
      <w:r w:rsidR="008F3C76" w:rsidRPr="00911BD5">
        <w:rPr>
          <w:rFonts w:asciiTheme="majorHAnsi" w:eastAsia="Play" w:hAnsiTheme="majorHAnsi" w:cs="Play"/>
        </w:rPr>
        <w:t>160 units diverted from waste (Target: 200).</w:t>
      </w:r>
      <w:r>
        <w:rPr>
          <w:rFonts w:asciiTheme="majorHAnsi" w:eastAsia="Play" w:hAnsiTheme="majorHAnsi" w:cs="Play"/>
        </w:rPr>
        <w:t xml:space="preserve"> (</w:t>
      </w:r>
      <w:r w:rsidRPr="00E23992">
        <w:rPr>
          <w:rFonts w:asciiTheme="majorHAnsi" w:eastAsia="Play" w:hAnsiTheme="majorHAnsi" w:cs="Play"/>
        </w:rPr>
        <w:t>Operational</w:t>
      </w:r>
      <w:r w:rsidR="0007696E">
        <w:rPr>
          <w:rFonts w:asciiTheme="majorHAnsi" w:eastAsia="Play" w:hAnsiTheme="majorHAnsi" w:cs="Play"/>
        </w:rPr>
        <w:t xml:space="preserve"> </w:t>
      </w:r>
      <w:r w:rsidRPr="0007696E">
        <w:rPr>
          <w:rFonts w:asciiTheme="majorHAnsi" w:eastAsia="Play" w:hAnsiTheme="majorHAnsi" w:cs="Play"/>
        </w:rPr>
        <w:t>Efficiency)</w:t>
      </w:r>
    </w:p>
    <w:p w14:paraId="411906CF" w14:textId="6E4F6BCE" w:rsidR="00520260" w:rsidRPr="00911BD5" w:rsidRDefault="00520260" w:rsidP="00520260">
      <w:pPr>
        <w:numPr>
          <w:ilvl w:val="0"/>
          <w:numId w:val="4"/>
        </w:numPr>
        <w:rPr>
          <w:rFonts w:asciiTheme="majorHAnsi" w:eastAsia="Play" w:hAnsiTheme="majorHAnsi" w:cs="Play"/>
        </w:rPr>
      </w:pPr>
      <w:r w:rsidRPr="00911BD5">
        <w:rPr>
          <w:rFonts w:asciiTheme="majorHAnsi" w:eastAsia="Play" w:hAnsiTheme="majorHAnsi" w:cs="Play"/>
          <w:b/>
          <w:bCs/>
        </w:rPr>
        <w:t>Stakeholder Network</w:t>
      </w:r>
      <w:r w:rsidRPr="00911BD5">
        <w:rPr>
          <w:rFonts w:asciiTheme="majorHAnsi" w:eastAsia="Play" w:hAnsiTheme="majorHAnsi" w:cs="Play"/>
        </w:rPr>
        <w:t xml:space="preserve">: </w:t>
      </w:r>
      <w:r w:rsidR="008F3C76" w:rsidRPr="00911BD5">
        <w:rPr>
          <w:rFonts w:asciiTheme="majorHAnsi" w:eastAsia="Play" w:hAnsiTheme="majorHAnsi" w:cs="Play"/>
        </w:rPr>
        <w:t>40 entities active in the reuse network (Target: 60).</w:t>
      </w:r>
    </w:p>
    <w:p w14:paraId="782703AB" w14:textId="16A16017" w:rsidR="00520260" w:rsidRPr="00911BD5" w:rsidRDefault="006B4ADE" w:rsidP="00520260">
      <w:pPr>
        <w:numPr>
          <w:ilvl w:val="0"/>
          <w:numId w:val="4"/>
        </w:numPr>
        <w:rPr>
          <w:rFonts w:asciiTheme="majorHAnsi" w:eastAsia="Play" w:hAnsiTheme="majorHAnsi" w:cs="Play"/>
        </w:rPr>
      </w:pPr>
      <w:r w:rsidRPr="00911BD5">
        <w:rPr>
          <w:rFonts w:asciiTheme="majorHAnsi" w:eastAsia="Play" w:hAnsiTheme="majorHAnsi" w:cs="Play"/>
          <w:b/>
          <w:bCs/>
        </w:rPr>
        <w:t>Estimated WEEE reduction</w:t>
      </w:r>
      <w:r w:rsidR="00520260" w:rsidRPr="00911BD5">
        <w:rPr>
          <w:rFonts w:asciiTheme="majorHAnsi" w:eastAsia="Play" w:hAnsiTheme="majorHAnsi" w:cs="Play"/>
        </w:rPr>
        <w:t xml:space="preserve">: </w:t>
      </w:r>
      <w:r w:rsidR="008F3C76" w:rsidRPr="00911BD5">
        <w:rPr>
          <w:rFonts w:asciiTheme="majorHAnsi" w:eastAsia="Play" w:hAnsiTheme="majorHAnsi" w:cs="Play"/>
        </w:rPr>
        <w:t>1,500 kg of WEEE reduced (Target: 2,250 kg).</w:t>
      </w:r>
    </w:p>
    <w:p w14:paraId="29663165" w14:textId="11A273E1" w:rsidR="00520260" w:rsidRPr="00911BD5" w:rsidRDefault="00CE6C70" w:rsidP="00520260">
      <w:pPr>
        <w:numPr>
          <w:ilvl w:val="0"/>
          <w:numId w:val="4"/>
        </w:numPr>
        <w:rPr>
          <w:rFonts w:asciiTheme="majorHAnsi" w:eastAsia="Play" w:hAnsiTheme="majorHAnsi" w:cs="Play"/>
        </w:rPr>
      </w:pPr>
      <w:r w:rsidRPr="00911BD5">
        <w:rPr>
          <w:rFonts w:asciiTheme="majorHAnsi" w:eastAsia="Play" w:hAnsiTheme="majorHAnsi" w:cs="Play"/>
          <w:b/>
          <w:bCs/>
        </w:rPr>
        <w:t>Cost savings for users</w:t>
      </w:r>
      <w:r w:rsidR="00520260" w:rsidRPr="00911BD5">
        <w:rPr>
          <w:rFonts w:asciiTheme="majorHAnsi" w:eastAsia="Play" w:hAnsiTheme="majorHAnsi" w:cs="Play"/>
        </w:rPr>
        <w:t xml:space="preserve">: </w:t>
      </w:r>
      <w:r w:rsidR="00B81844">
        <w:rPr>
          <w:rFonts w:asciiTheme="majorHAnsi" w:eastAsia="Play" w:hAnsiTheme="majorHAnsi" w:cs="Play"/>
        </w:rPr>
        <w:t>5</w:t>
      </w:r>
      <w:r w:rsidR="00F814D2" w:rsidRPr="00911BD5">
        <w:rPr>
          <w:rFonts w:asciiTheme="majorHAnsi" w:eastAsia="Play" w:hAnsiTheme="majorHAnsi" w:cs="Play"/>
        </w:rPr>
        <w:t>,</w:t>
      </w:r>
      <w:r w:rsidR="00B81844">
        <w:rPr>
          <w:rFonts w:asciiTheme="majorHAnsi" w:eastAsia="Play" w:hAnsiTheme="majorHAnsi" w:cs="Play"/>
        </w:rPr>
        <w:t>0</w:t>
      </w:r>
      <w:r w:rsidR="00F814D2" w:rsidRPr="00911BD5">
        <w:rPr>
          <w:rFonts w:asciiTheme="majorHAnsi" w:eastAsia="Play" w:hAnsiTheme="majorHAnsi" w:cs="Play"/>
        </w:rPr>
        <w:t xml:space="preserve">00 </w:t>
      </w:r>
      <w:r w:rsidR="00F814D2">
        <w:rPr>
          <w:rFonts w:asciiTheme="majorHAnsi" w:eastAsia="Play" w:hAnsiTheme="majorHAnsi" w:cs="Play"/>
        </w:rPr>
        <w:t>Eur</w:t>
      </w:r>
      <w:r w:rsidR="00F814D2" w:rsidRPr="00911BD5">
        <w:rPr>
          <w:rFonts w:asciiTheme="majorHAnsi" w:eastAsia="Play" w:hAnsiTheme="majorHAnsi" w:cs="Play"/>
        </w:rPr>
        <w:t xml:space="preserve"> (Target: </w:t>
      </w:r>
      <w:r w:rsidR="00F814D2">
        <w:rPr>
          <w:rFonts w:asciiTheme="majorHAnsi" w:eastAsia="Play" w:hAnsiTheme="majorHAnsi" w:cs="Play"/>
        </w:rPr>
        <w:t>7</w:t>
      </w:r>
      <w:r w:rsidR="00F814D2" w:rsidRPr="00911BD5">
        <w:rPr>
          <w:rFonts w:asciiTheme="majorHAnsi" w:eastAsia="Play" w:hAnsiTheme="majorHAnsi" w:cs="Play"/>
        </w:rPr>
        <w:t>,</w:t>
      </w:r>
      <w:r w:rsidR="00B81844">
        <w:rPr>
          <w:rFonts w:asciiTheme="majorHAnsi" w:eastAsia="Play" w:hAnsiTheme="majorHAnsi" w:cs="Play"/>
        </w:rPr>
        <w:t>50</w:t>
      </w:r>
      <w:r w:rsidR="00F814D2" w:rsidRPr="00911BD5">
        <w:rPr>
          <w:rFonts w:asciiTheme="majorHAnsi" w:eastAsia="Play" w:hAnsiTheme="majorHAnsi" w:cs="Play"/>
        </w:rPr>
        <w:t xml:space="preserve">0 </w:t>
      </w:r>
      <w:r w:rsidR="00B81844">
        <w:rPr>
          <w:rFonts w:asciiTheme="majorHAnsi" w:eastAsia="Play" w:hAnsiTheme="majorHAnsi" w:cs="Play"/>
        </w:rPr>
        <w:t>Eur</w:t>
      </w:r>
      <w:r w:rsidR="00F814D2" w:rsidRPr="00911BD5">
        <w:rPr>
          <w:rFonts w:asciiTheme="majorHAnsi" w:eastAsia="Play" w:hAnsiTheme="majorHAnsi" w:cs="Play"/>
        </w:rPr>
        <w:t>)</w:t>
      </w:r>
      <w:r w:rsidR="008F3C76" w:rsidRPr="00911BD5">
        <w:rPr>
          <w:rFonts w:asciiTheme="majorHAnsi" w:eastAsia="Play" w:hAnsiTheme="majorHAnsi" w:cs="Play"/>
        </w:rPr>
        <w:t>.</w:t>
      </w:r>
    </w:p>
    <w:p w14:paraId="729DC990" w14:textId="77777777" w:rsidR="000B36E1" w:rsidRPr="00911BD5" w:rsidRDefault="00000000">
      <w:pPr>
        <w:spacing w:before="240" w:line="271" w:lineRule="auto"/>
        <w:rPr>
          <w:rFonts w:asciiTheme="majorHAnsi" w:eastAsia="Play" w:hAnsiTheme="majorHAnsi" w:cs="Play"/>
        </w:rPr>
      </w:pPr>
      <w:bookmarkStart w:id="8" w:name="bookmark=id.cerrsuhnzkwe" w:colFirst="0" w:colLast="0"/>
      <w:bookmarkEnd w:id="7"/>
      <w:bookmarkEnd w:id="8"/>
      <w:r w:rsidRPr="00911BD5">
        <w:rPr>
          <w:rFonts w:asciiTheme="majorHAnsi" w:eastAsia="Play" w:hAnsiTheme="majorHAnsi" w:cs="Play"/>
          <w:b/>
          <w:bCs/>
          <w:sz w:val="33"/>
          <w:szCs w:val="33"/>
        </w:rPr>
        <w:t>2.4 Transnational Potential (2-3 sentences)</w:t>
      </w:r>
    </w:p>
    <w:p w14:paraId="08F64577" w14:textId="6DB21DD8" w:rsidR="000B36E1" w:rsidRPr="00911BD5" w:rsidRDefault="008F3C76" w:rsidP="00520260">
      <w:pPr>
        <w:spacing w:after="210"/>
        <w:rPr>
          <w:rFonts w:asciiTheme="majorHAnsi" w:eastAsia="Play" w:hAnsiTheme="majorHAnsi" w:cs="Play"/>
        </w:rPr>
      </w:pPr>
      <w:r w:rsidRPr="00911BD5">
        <w:rPr>
          <w:rFonts w:asciiTheme="majorHAnsi" w:eastAsia="Play" w:hAnsiTheme="majorHAnsi" w:cs="Play"/>
        </w:rPr>
        <w:t>The solution is highly replicable as it uses universal components: existing public ICT stock and technical school labs. Concrete evidence of stakeholder interest is proven by the formal integration of the model into the curriculum of Technical Institutes Montani (Fermo) and Volterra Elia (Ancona), alongside the active engagement of 15 Black Sea municipalities with the digital platform.</w:t>
      </w:r>
    </w:p>
    <w:p w14:paraId="6AD39CA0" w14:textId="77777777" w:rsidR="000B36E1" w:rsidRPr="00911BD5" w:rsidRDefault="00000000">
      <w:pPr>
        <w:spacing w:before="240" w:line="271" w:lineRule="auto"/>
        <w:rPr>
          <w:rFonts w:asciiTheme="majorHAnsi" w:eastAsia="Play" w:hAnsiTheme="majorHAnsi" w:cs="Play"/>
        </w:rPr>
      </w:pPr>
      <w:bookmarkStart w:id="9" w:name="bookmark=id.ny0n77825q98" w:colFirst="0" w:colLast="0"/>
      <w:bookmarkEnd w:id="9"/>
      <w:r w:rsidRPr="00911BD5">
        <w:rPr>
          <w:rFonts w:asciiTheme="majorHAnsi" w:eastAsia="Play" w:hAnsiTheme="majorHAnsi" w:cs="Play"/>
          <w:b/>
          <w:bCs/>
          <w:sz w:val="33"/>
          <w:szCs w:val="33"/>
        </w:rPr>
        <w:t>2.5 Target Adopters for 2027+ (4-5 organization types)</w:t>
      </w:r>
    </w:p>
    <w:p w14:paraId="532CA162"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rPr>
        <w:t>Who could replicate this in a future project?</w:t>
      </w:r>
    </w:p>
    <w:p w14:paraId="45E18EDA" w14:textId="77777777" w:rsidR="00520260" w:rsidRPr="00911BD5" w:rsidRDefault="00520260">
      <w:pPr>
        <w:numPr>
          <w:ilvl w:val="0"/>
          <w:numId w:val="5"/>
        </w:numPr>
        <w:rPr>
          <w:rFonts w:asciiTheme="majorHAnsi" w:eastAsia="Play" w:hAnsiTheme="majorHAnsi" w:cs="Play"/>
        </w:rPr>
      </w:pPr>
      <w:r w:rsidRPr="00911BD5">
        <w:rPr>
          <w:rFonts w:asciiTheme="majorHAnsi" w:eastAsia="Play" w:hAnsiTheme="majorHAnsi" w:cs="Play"/>
        </w:rPr>
        <w:t xml:space="preserve">Public administrations (national/regional/local), </w:t>
      </w:r>
    </w:p>
    <w:p w14:paraId="50287317" w14:textId="77777777" w:rsidR="00520260" w:rsidRPr="00911BD5" w:rsidRDefault="00520260" w:rsidP="00520260">
      <w:pPr>
        <w:numPr>
          <w:ilvl w:val="0"/>
          <w:numId w:val="5"/>
        </w:numPr>
        <w:rPr>
          <w:rFonts w:asciiTheme="majorHAnsi" w:eastAsia="Play" w:hAnsiTheme="majorHAnsi" w:cs="Play"/>
        </w:rPr>
      </w:pPr>
      <w:r w:rsidRPr="00911BD5">
        <w:rPr>
          <w:rFonts w:asciiTheme="majorHAnsi" w:eastAsia="Play" w:hAnsiTheme="majorHAnsi" w:cs="Play"/>
        </w:rPr>
        <w:t xml:space="preserve">Technical and vocational school systems </w:t>
      </w:r>
    </w:p>
    <w:p w14:paraId="15F57E4E" w14:textId="5458079A" w:rsidR="00520260" w:rsidRPr="00911BD5" w:rsidRDefault="00520260" w:rsidP="00520260">
      <w:pPr>
        <w:numPr>
          <w:ilvl w:val="0"/>
          <w:numId w:val="5"/>
        </w:numPr>
        <w:rPr>
          <w:rFonts w:asciiTheme="majorHAnsi" w:eastAsia="Play" w:hAnsiTheme="majorHAnsi" w:cs="Play"/>
        </w:rPr>
      </w:pPr>
      <w:r w:rsidRPr="00911BD5">
        <w:rPr>
          <w:rFonts w:asciiTheme="majorHAnsi" w:eastAsia="Play" w:hAnsiTheme="majorHAnsi" w:cs="Play"/>
        </w:rPr>
        <w:t>Circular economy business networks</w:t>
      </w:r>
    </w:p>
    <w:p w14:paraId="73D3D7BF" w14:textId="3760C6D0" w:rsidR="000B36E1" w:rsidRPr="00911BD5" w:rsidRDefault="00520260">
      <w:pPr>
        <w:numPr>
          <w:ilvl w:val="0"/>
          <w:numId w:val="5"/>
        </w:numPr>
        <w:rPr>
          <w:rFonts w:asciiTheme="majorHAnsi" w:eastAsia="Play" w:hAnsiTheme="majorHAnsi" w:cs="Play"/>
        </w:rPr>
      </w:pPr>
      <w:r w:rsidRPr="00911BD5">
        <w:rPr>
          <w:rFonts w:asciiTheme="majorHAnsi" w:eastAsia="Play" w:hAnsiTheme="majorHAnsi" w:cs="Play"/>
        </w:rPr>
        <w:t>Repair and reuse NGOs</w:t>
      </w:r>
    </w:p>
    <w:p w14:paraId="294857E4" w14:textId="1299C604" w:rsidR="00520260" w:rsidRPr="00911BD5" w:rsidRDefault="00520260" w:rsidP="00520260">
      <w:pPr>
        <w:numPr>
          <w:ilvl w:val="0"/>
          <w:numId w:val="5"/>
        </w:numPr>
        <w:rPr>
          <w:rFonts w:asciiTheme="majorHAnsi" w:eastAsia="Play" w:hAnsiTheme="majorHAnsi" w:cs="Play"/>
        </w:rPr>
      </w:pPr>
      <w:r w:rsidRPr="00911BD5">
        <w:rPr>
          <w:rFonts w:asciiTheme="majorHAnsi" w:eastAsia="Play" w:hAnsiTheme="majorHAnsi" w:cs="Play"/>
        </w:rPr>
        <w:t>Producer Responsibility Organisations (PROs).</w:t>
      </w:r>
    </w:p>
    <w:p w14:paraId="7909FEE6" w14:textId="77777777" w:rsidR="000B36E1" w:rsidRPr="00911BD5" w:rsidRDefault="007C558F">
      <w:pPr>
        <w:rPr>
          <w:rFonts w:asciiTheme="majorHAnsi" w:eastAsia="Play" w:hAnsiTheme="majorHAnsi" w:cs="Play"/>
        </w:rPr>
      </w:pPr>
      <w:r>
        <w:rPr>
          <w:rFonts w:asciiTheme="majorHAnsi" w:hAnsiTheme="majorHAnsi"/>
          <w:noProof/>
        </w:rPr>
        <w:pict w14:anchorId="32838BCF">
          <v:rect id="_x0000_i1033" alt="" style="width:353.25pt;height:.05pt;mso-width-percent:0;mso-height-percent:0;mso-width-percent:0;mso-height-percent:0" o:hrpct="733" o:hralign="center" o:hrstd="t" o:hr="t" fillcolor="#a0a0a0" stroked="f"/>
        </w:pict>
      </w:r>
    </w:p>
    <w:p w14:paraId="0F84BD50" w14:textId="77777777" w:rsidR="000B36E1" w:rsidRPr="00911BD5" w:rsidRDefault="00000000">
      <w:pPr>
        <w:spacing w:before="240" w:line="271" w:lineRule="auto"/>
        <w:rPr>
          <w:rFonts w:asciiTheme="majorHAnsi" w:eastAsia="Play" w:hAnsiTheme="majorHAnsi" w:cs="Play"/>
        </w:rPr>
      </w:pPr>
      <w:bookmarkStart w:id="10" w:name="bookmark=id.lqcryoooy4ra" w:colFirst="0" w:colLast="0"/>
      <w:bookmarkEnd w:id="10"/>
      <w:r w:rsidRPr="00911BD5">
        <w:rPr>
          <w:rFonts w:asciiTheme="majorHAnsi" w:eastAsia="Play" w:hAnsiTheme="majorHAnsi" w:cs="Play"/>
          <w:b/>
          <w:bCs/>
          <w:sz w:val="42"/>
          <w:szCs w:val="42"/>
        </w:rPr>
        <w:t>SECTION 3: WP2 RESULTS TABLE</w:t>
      </w:r>
    </w:p>
    <w:p w14:paraId="725F4DFF"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All-Territories Aggregated KPIs</w:t>
      </w:r>
    </w:p>
    <w:tbl>
      <w:tblPr>
        <w:tblStyle w:val="a"/>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756"/>
        <w:gridCol w:w="1031"/>
        <w:gridCol w:w="1286"/>
        <w:gridCol w:w="1505"/>
        <w:gridCol w:w="1665"/>
        <w:gridCol w:w="1441"/>
      </w:tblGrid>
      <w:tr w:rsidR="000B36E1" w:rsidRPr="00911BD5" w14:paraId="5FF61591" w14:textId="77777777">
        <w:trPr>
          <w:cantSplit/>
          <w:jc w:val="center"/>
        </w:trPr>
        <w:tc>
          <w:tcPr>
            <w:tcW w:w="1756" w:type="dxa"/>
            <w:tcBorders>
              <w:top w:val="single" w:sz="4" w:space="0" w:color="000000"/>
              <w:bottom w:val="single" w:sz="4" w:space="0" w:color="000000"/>
            </w:tcBorders>
          </w:tcPr>
          <w:p w14:paraId="4D4028B8" w14:textId="77777777" w:rsidR="000B36E1" w:rsidRPr="00911BD5" w:rsidRDefault="00000000">
            <w:pPr>
              <w:rPr>
                <w:rFonts w:asciiTheme="majorHAnsi" w:eastAsia="Play" w:hAnsiTheme="majorHAnsi" w:cs="Play"/>
              </w:rPr>
            </w:pPr>
            <w:r w:rsidRPr="00911BD5">
              <w:rPr>
                <w:rFonts w:asciiTheme="majorHAnsi" w:eastAsia="Play" w:hAnsiTheme="majorHAnsi" w:cs="Play"/>
              </w:rPr>
              <w:lastRenderedPageBreak/>
              <w:t>KPI</w:t>
            </w:r>
          </w:p>
        </w:tc>
        <w:tc>
          <w:tcPr>
            <w:tcW w:w="1031" w:type="dxa"/>
            <w:tcBorders>
              <w:top w:val="single" w:sz="4" w:space="0" w:color="000000"/>
              <w:left w:val="single" w:sz="4" w:space="0" w:color="000000"/>
              <w:bottom w:val="single" w:sz="4" w:space="0" w:color="000000"/>
            </w:tcBorders>
          </w:tcPr>
          <w:p w14:paraId="31670911" w14:textId="77777777" w:rsidR="000B36E1" w:rsidRPr="00911BD5" w:rsidRDefault="00000000">
            <w:pPr>
              <w:rPr>
                <w:rFonts w:asciiTheme="majorHAnsi" w:eastAsia="Play" w:hAnsiTheme="majorHAnsi" w:cs="Play"/>
              </w:rPr>
            </w:pPr>
            <w:r w:rsidRPr="00911BD5">
              <w:rPr>
                <w:rFonts w:asciiTheme="majorHAnsi" w:eastAsia="Play" w:hAnsiTheme="majorHAnsi" w:cs="Play"/>
              </w:rPr>
              <w:t>Target (All T.)</w:t>
            </w:r>
          </w:p>
        </w:tc>
        <w:tc>
          <w:tcPr>
            <w:tcW w:w="1286" w:type="dxa"/>
            <w:tcBorders>
              <w:top w:val="single" w:sz="4" w:space="0" w:color="000000"/>
              <w:left w:val="single" w:sz="4" w:space="0" w:color="000000"/>
              <w:bottom w:val="single" w:sz="4" w:space="0" w:color="000000"/>
            </w:tcBorders>
          </w:tcPr>
          <w:p w14:paraId="58D38C11" w14:textId="77777777" w:rsidR="000B36E1" w:rsidRPr="00911BD5" w:rsidRDefault="00000000">
            <w:pPr>
              <w:rPr>
                <w:rFonts w:asciiTheme="majorHAnsi" w:eastAsia="Play" w:hAnsiTheme="majorHAnsi" w:cs="Play"/>
              </w:rPr>
            </w:pPr>
            <w:r w:rsidRPr="00911BD5">
              <w:rPr>
                <w:rFonts w:asciiTheme="majorHAnsi" w:eastAsia="Play" w:hAnsiTheme="majorHAnsi" w:cs="Play"/>
              </w:rPr>
              <w:t>Achieved (All T.)</w:t>
            </w:r>
          </w:p>
        </w:tc>
        <w:tc>
          <w:tcPr>
            <w:tcW w:w="1505" w:type="dxa"/>
            <w:tcBorders>
              <w:top w:val="single" w:sz="4" w:space="0" w:color="000000"/>
              <w:left w:val="single" w:sz="4" w:space="0" w:color="000000"/>
              <w:bottom w:val="single" w:sz="4" w:space="0" w:color="000000"/>
            </w:tcBorders>
          </w:tcPr>
          <w:p w14:paraId="46B15F89" w14:textId="77777777" w:rsidR="000B36E1" w:rsidRPr="00911BD5" w:rsidRDefault="00000000">
            <w:pPr>
              <w:rPr>
                <w:rFonts w:asciiTheme="majorHAnsi" w:eastAsia="Play" w:hAnsiTheme="majorHAnsi" w:cs="Play"/>
              </w:rPr>
            </w:pPr>
            <w:r w:rsidRPr="00911BD5">
              <w:rPr>
                <w:rFonts w:asciiTheme="majorHAnsi" w:eastAsia="Play" w:hAnsiTheme="majorHAnsi" w:cs="Play"/>
              </w:rPr>
              <w:t>% Achievement</w:t>
            </w:r>
          </w:p>
        </w:tc>
        <w:tc>
          <w:tcPr>
            <w:tcW w:w="1665" w:type="dxa"/>
            <w:tcBorders>
              <w:top w:val="single" w:sz="4" w:space="0" w:color="000000"/>
              <w:left w:val="single" w:sz="4" w:space="0" w:color="000000"/>
              <w:bottom w:val="single" w:sz="4" w:space="0" w:color="000000"/>
            </w:tcBorders>
          </w:tcPr>
          <w:p w14:paraId="1DAAF22C" w14:textId="77777777" w:rsidR="000B36E1" w:rsidRPr="00911BD5" w:rsidRDefault="00000000">
            <w:pPr>
              <w:rPr>
                <w:rFonts w:asciiTheme="majorHAnsi" w:eastAsia="Play" w:hAnsiTheme="majorHAnsi" w:cs="Play"/>
              </w:rPr>
            </w:pPr>
            <w:r w:rsidRPr="00911BD5">
              <w:rPr>
                <w:rFonts w:asciiTheme="majorHAnsi" w:eastAsia="Play" w:hAnsiTheme="majorHAnsi" w:cs="Play"/>
              </w:rPr>
              <w:t>Range (Low-High Territory)</w:t>
            </w:r>
          </w:p>
        </w:tc>
        <w:tc>
          <w:tcPr>
            <w:tcW w:w="1441" w:type="dxa"/>
            <w:tcBorders>
              <w:top w:val="single" w:sz="4" w:space="0" w:color="000000"/>
              <w:left w:val="single" w:sz="4" w:space="0" w:color="000000"/>
              <w:bottom w:val="single" w:sz="4" w:space="0" w:color="000000"/>
            </w:tcBorders>
          </w:tcPr>
          <w:p w14:paraId="42194EF0" w14:textId="77777777" w:rsidR="000B36E1" w:rsidRPr="00911BD5" w:rsidRDefault="00000000">
            <w:pPr>
              <w:rPr>
                <w:rFonts w:asciiTheme="majorHAnsi" w:eastAsia="Play" w:hAnsiTheme="majorHAnsi" w:cs="Play"/>
              </w:rPr>
            </w:pPr>
            <w:r w:rsidRPr="00911BD5">
              <w:rPr>
                <w:rFonts w:asciiTheme="majorHAnsi" w:eastAsia="Play" w:hAnsiTheme="majorHAnsi" w:cs="Play"/>
              </w:rPr>
              <w:t>Data Source</w:t>
            </w:r>
          </w:p>
        </w:tc>
      </w:tr>
      <w:tr w:rsidR="000B36E1" w:rsidRPr="00911BD5" w14:paraId="03DA4330" w14:textId="77777777">
        <w:trPr>
          <w:cantSplit/>
          <w:jc w:val="center"/>
        </w:trPr>
        <w:tc>
          <w:tcPr>
            <w:tcW w:w="1756" w:type="dxa"/>
            <w:tcBorders>
              <w:top w:val="single" w:sz="4" w:space="0" w:color="000000"/>
              <w:bottom w:val="single" w:sz="4" w:space="0" w:color="000000"/>
            </w:tcBorders>
          </w:tcPr>
          <w:p w14:paraId="7EA64758" w14:textId="131A709B" w:rsidR="000B36E1" w:rsidRPr="00911BD5" w:rsidRDefault="00116940">
            <w:pPr>
              <w:rPr>
                <w:rFonts w:asciiTheme="majorHAnsi" w:eastAsia="Play" w:hAnsiTheme="majorHAnsi" w:cs="Play"/>
              </w:rPr>
            </w:pPr>
            <w:r w:rsidRPr="00911BD5">
              <w:rPr>
                <w:rFonts w:asciiTheme="majorHAnsi" w:eastAsia="Play" w:hAnsiTheme="majorHAnsi" w:cs="Play"/>
                <w:b/>
                <w:bCs/>
              </w:rPr>
              <w:t>Devices assessed for reuse</w:t>
            </w:r>
          </w:p>
        </w:tc>
        <w:tc>
          <w:tcPr>
            <w:tcW w:w="1031" w:type="dxa"/>
            <w:tcBorders>
              <w:top w:val="single" w:sz="4" w:space="0" w:color="000000"/>
              <w:left w:val="single" w:sz="4" w:space="0" w:color="000000"/>
              <w:bottom w:val="single" w:sz="4" w:space="0" w:color="000000"/>
            </w:tcBorders>
          </w:tcPr>
          <w:p w14:paraId="4C0BFBD8" w14:textId="676FB9AB" w:rsidR="000B36E1" w:rsidRPr="00911BD5" w:rsidRDefault="006709C9">
            <w:pPr>
              <w:rPr>
                <w:rFonts w:asciiTheme="majorHAnsi" w:eastAsia="Play" w:hAnsiTheme="majorHAnsi" w:cs="Play"/>
              </w:rPr>
            </w:pPr>
            <w:r w:rsidRPr="00911BD5">
              <w:rPr>
                <w:rFonts w:asciiTheme="majorHAnsi" w:eastAsia="Play" w:hAnsiTheme="majorHAnsi" w:cs="Play"/>
              </w:rPr>
              <w:t>4</w:t>
            </w:r>
            <w:r w:rsidR="00116940" w:rsidRPr="00911BD5">
              <w:rPr>
                <w:rFonts w:asciiTheme="majorHAnsi" w:eastAsia="Play" w:hAnsiTheme="majorHAnsi" w:cs="Play"/>
              </w:rPr>
              <w:t>00 units</w:t>
            </w:r>
          </w:p>
        </w:tc>
        <w:tc>
          <w:tcPr>
            <w:tcW w:w="1286" w:type="dxa"/>
            <w:tcBorders>
              <w:top w:val="single" w:sz="4" w:space="0" w:color="000000"/>
              <w:left w:val="single" w:sz="4" w:space="0" w:color="000000"/>
              <w:bottom w:val="single" w:sz="4" w:space="0" w:color="000000"/>
            </w:tcBorders>
          </w:tcPr>
          <w:p w14:paraId="02C9777F" w14:textId="4513FA17" w:rsidR="000B36E1" w:rsidRPr="00911BD5" w:rsidRDefault="006709C9">
            <w:pPr>
              <w:rPr>
                <w:rFonts w:asciiTheme="majorHAnsi" w:eastAsia="Play" w:hAnsiTheme="majorHAnsi" w:cs="Play"/>
              </w:rPr>
            </w:pPr>
            <w:r w:rsidRPr="00911BD5">
              <w:rPr>
                <w:rFonts w:asciiTheme="majorHAnsi" w:eastAsia="Play" w:hAnsiTheme="majorHAnsi" w:cs="Play"/>
              </w:rPr>
              <w:t>300</w:t>
            </w:r>
          </w:p>
        </w:tc>
        <w:tc>
          <w:tcPr>
            <w:tcW w:w="1505" w:type="dxa"/>
            <w:tcBorders>
              <w:top w:val="single" w:sz="4" w:space="0" w:color="000000"/>
              <w:left w:val="single" w:sz="4" w:space="0" w:color="000000"/>
              <w:bottom w:val="single" w:sz="4" w:space="0" w:color="000000"/>
            </w:tcBorders>
          </w:tcPr>
          <w:p w14:paraId="05F9F771" w14:textId="11DD540E" w:rsidR="000B36E1" w:rsidRPr="00911BD5" w:rsidRDefault="006709C9">
            <w:pPr>
              <w:rPr>
                <w:rFonts w:asciiTheme="majorHAnsi" w:eastAsia="Play" w:hAnsiTheme="majorHAnsi" w:cs="Play"/>
              </w:rPr>
            </w:pPr>
            <w:r w:rsidRPr="00911BD5">
              <w:rPr>
                <w:rFonts w:asciiTheme="majorHAnsi" w:eastAsia="Play" w:hAnsiTheme="majorHAnsi" w:cs="Play"/>
              </w:rPr>
              <w:t>75%</w:t>
            </w:r>
          </w:p>
        </w:tc>
        <w:tc>
          <w:tcPr>
            <w:tcW w:w="1665" w:type="dxa"/>
            <w:tcBorders>
              <w:top w:val="single" w:sz="4" w:space="0" w:color="000000"/>
              <w:left w:val="single" w:sz="4" w:space="0" w:color="000000"/>
              <w:bottom w:val="single" w:sz="4" w:space="0" w:color="000000"/>
            </w:tcBorders>
          </w:tcPr>
          <w:p w14:paraId="610AEC62" w14:textId="77777777" w:rsidR="00116940" w:rsidRPr="00911BD5" w:rsidRDefault="00116940" w:rsidP="00116940">
            <w:pPr>
              <w:rPr>
                <w:rFonts w:asciiTheme="majorHAnsi" w:eastAsia="Play" w:hAnsiTheme="majorHAnsi" w:cs="Play"/>
              </w:rPr>
            </w:pPr>
            <w:r w:rsidRPr="00911BD5">
              <w:rPr>
                <w:rFonts w:asciiTheme="majorHAnsi" w:eastAsia="Play" w:hAnsiTheme="majorHAnsi" w:cs="Play"/>
              </w:rPr>
              <w:t>Italy: 250 units/year</w:t>
            </w:r>
          </w:p>
          <w:p w14:paraId="61965549" w14:textId="7B1B5D60" w:rsidR="000B36E1" w:rsidRPr="00911BD5" w:rsidRDefault="00116940" w:rsidP="00116940">
            <w:pPr>
              <w:rPr>
                <w:rFonts w:asciiTheme="majorHAnsi" w:eastAsia="Play" w:hAnsiTheme="majorHAnsi" w:cs="Play"/>
              </w:rPr>
            </w:pPr>
            <w:r w:rsidRPr="00911BD5">
              <w:rPr>
                <w:rFonts w:asciiTheme="majorHAnsi" w:eastAsia="Play" w:hAnsiTheme="majorHAnsi" w:cs="Play"/>
              </w:rPr>
              <w:t xml:space="preserve"> Bulgaria: 50 listings</w:t>
            </w:r>
          </w:p>
        </w:tc>
        <w:tc>
          <w:tcPr>
            <w:tcW w:w="1441" w:type="dxa"/>
            <w:tcBorders>
              <w:top w:val="single" w:sz="4" w:space="0" w:color="000000"/>
              <w:left w:val="single" w:sz="4" w:space="0" w:color="000000"/>
              <w:bottom w:val="single" w:sz="4" w:space="0" w:color="000000"/>
            </w:tcBorders>
          </w:tcPr>
          <w:p w14:paraId="5F52BAEF" w14:textId="451D5EC0" w:rsidR="000B36E1" w:rsidRPr="00911BD5" w:rsidRDefault="00116940">
            <w:pPr>
              <w:rPr>
                <w:rFonts w:asciiTheme="majorHAnsi" w:eastAsia="Play" w:hAnsiTheme="majorHAnsi" w:cs="Play"/>
              </w:rPr>
            </w:pPr>
            <w:r w:rsidRPr="00911BD5">
              <w:rPr>
                <w:rFonts w:asciiTheme="majorHAnsi" w:eastAsia="Play" w:hAnsiTheme="majorHAnsi" w:cs="Play"/>
              </w:rPr>
              <w:t>WP2 Final Report, Sec 5.1</w:t>
            </w:r>
          </w:p>
        </w:tc>
      </w:tr>
      <w:tr w:rsidR="000B36E1" w:rsidRPr="00911BD5" w14:paraId="71703571" w14:textId="77777777">
        <w:trPr>
          <w:cantSplit/>
          <w:jc w:val="center"/>
        </w:trPr>
        <w:tc>
          <w:tcPr>
            <w:tcW w:w="1756" w:type="dxa"/>
            <w:tcBorders>
              <w:top w:val="single" w:sz="4" w:space="0" w:color="000000"/>
              <w:bottom w:val="single" w:sz="4" w:space="0" w:color="000000"/>
            </w:tcBorders>
          </w:tcPr>
          <w:p w14:paraId="67502C2D" w14:textId="5CB7D747" w:rsidR="000B36E1" w:rsidRPr="00911BD5" w:rsidRDefault="00116940">
            <w:pPr>
              <w:rPr>
                <w:rFonts w:asciiTheme="majorHAnsi" w:eastAsia="Play" w:hAnsiTheme="majorHAnsi" w:cs="Play"/>
              </w:rPr>
            </w:pPr>
            <w:r w:rsidRPr="00911BD5">
              <w:rPr>
                <w:rFonts w:asciiTheme="majorHAnsi" w:eastAsia="Play" w:hAnsiTheme="majorHAnsi" w:cs="Play"/>
                <w:b/>
                <w:bCs/>
              </w:rPr>
              <w:t>Devices refurbished or exchanged</w:t>
            </w:r>
          </w:p>
        </w:tc>
        <w:tc>
          <w:tcPr>
            <w:tcW w:w="1031" w:type="dxa"/>
            <w:tcBorders>
              <w:top w:val="single" w:sz="4" w:space="0" w:color="000000"/>
              <w:left w:val="single" w:sz="4" w:space="0" w:color="000000"/>
              <w:bottom w:val="single" w:sz="4" w:space="0" w:color="000000"/>
            </w:tcBorders>
          </w:tcPr>
          <w:p w14:paraId="09BBACD7" w14:textId="2A493541" w:rsidR="000B36E1" w:rsidRPr="00911BD5" w:rsidRDefault="006709C9">
            <w:pPr>
              <w:rPr>
                <w:rFonts w:asciiTheme="majorHAnsi" w:eastAsia="Play" w:hAnsiTheme="majorHAnsi" w:cs="Play"/>
              </w:rPr>
            </w:pPr>
            <w:r w:rsidRPr="00911BD5">
              <w:rPr>
                <w:rFonts w:asciiTheme="majorHAnsi" w:eastAsia="Play" w:hAnsiTheme="majorHAnsi" w:cs="Play"/>
              </w:rPr>
              <w:t>200 units</w:t>
            </w:r>
          </w:p>
        </w:tc>
        <w:tc>
          <w:tcPr>
            <w:tcW w:w="1286" w:type="dxa"/>
            <w:tcBorders>
              <w:top w:val="single" w:sz="4" w:space="0" w:color="000000"/>
              <w:left w:val="single" w:sz="4" w:space="0" w:color="000000"/>
              <w:bottom w:val="single" w:sz="4" w:space="0" w:color="000000"/>
            </w:tcBorders>
          </w:tcPr>
          <w:p w14:paraId="7FE27C8F" w14:textId="70A0C73F" w:rsidR="000B36E1" w:rsidRPr="00911BD5" w:rsidRDefault="006709C9">
            <w:pPr>
              <w:rPr>
                <w:rFonts w:asciiTheme="majorHAnsi" w:eastAsia="Play" w:hAnsiTheme="majorHAnsi" w:cs="Play"/>
              </w:rPr>
            </w:pPr>
            <w:r w:rsidRPr="00911BD5">
              <w:rPr>
                <w:rFonts w:asciiTheme="majorHAnsi" w:eastAsia="Play" w:hAnsiTheme="majorHAnsi" w:cs="Play"/>
              </w:rPr>
              <w:t>160</w:t>
            </w:r>
          </w:p>
        </w:tc>
        <w:tc>
          <w:tcPr>
            <w:tcW w:w="1505" w:type="dxa"/>
            <w:tcBorders>
              <w:top w:val="single" w:sz="4" w:space="0" w:color="000000"/>
              <w:left w:val="single" w:sz="4" w:space="0" w:color="000000"/>
              <w:bottom w:val="single" w:sz="4" w:space="0" w:color="000000"/>
            </w:tcBorders>
          </w:tcPr>
          <w:p w14:paraId="2ED16C97" w14:textId="5D0ABB88" w:rsidR="000B36E1" w:rsidRPr="00911BD5" w:rsidRDefault="006709C9">
            <w:pPr>
              <w:rPr>
                <w:rFonts w:asciiTheme="majorHAnsi" w:eastAsia="Play" w:hAnsiTheme="majorHAnsi" w:cs="Play"/>
              </w:rPr>
            </w:pPr>
            <w:r w:rsidRPr="00911BD5">
              <w:rPr>
                <w:rFonts w:asciiTheme="majorHAnsi" w:eastAsia="Play" w:hAnsiTheme="majorHAnsi" w:cs="Play"/>
              </w:rPr>
              <w:t>80%</w:t>
            </w:r>
          </w:p>
        </w:tc>
        <w:tc>
          <w:tcPr>
            <w:tcW w:w="1665" w:type="dxa"/>
            <w:tcBorders>
              <w:top w:val="single" w:sz="4" w:space="0" w:color="000000"/>
              <w:left w:val="single" w:sz="4" w:space="0" w:color="000000"/>
              <w:bottom w:val="single" w:sz="4" w:space="0" w:color="000000"/>
            </w:tcBorders>
          </w:tcPr>
          <w:p w14:paraId="315B7471" w14:textId="14DCFEB4" w:rsidR="000B36E1" w:rsidRDefault="00116940">
            <w:pPr>
              <w:rPr>
                <w:rFonts w:asciiTheme="majorHAnsi" w:eastAsia="Play" w:hAnsiTheme="majorHAnsi" w:cs="Play"/>
              </w:rPr>
            </w:pPr>
            <w:r w:rsidRPr="00911BD5">
              <w:rPr>
                <w:rFonts w:asciiTheme="majorHAnsi" w:eastAsia="Play" w:hAnsiTheme="majorHAnsi" w:cs="Play"/>
              </w:rPr>
              <w:t>Bulgaria: 10</w:t>
            </w:r>
          </w:p>
          <w:p w14:paraId="333FB366" w14:textId="598AC67B" w:rsidR="00A32844" w:rsidRPr="00911BD5" w:rsidRDefault="00A32844">
            <w:pPr>
              <w:rPr>
                <w:rFonts w:asciiTheme="majorHAnsi" w:eastAsia="Play" w:hAnsiTheme="majorHAnsi" w:cs="Play"/>
              </w:rPr>
            </w:pPr>
            <w:r w:rsidRPr="00911BD5">
              <w:rPr>
                <w:rFonts w:asciiTheme="majorHAnsi" w:eastAsia="Play" w:hAnsiTheme="majorHAnsi" w:cs="Play"/>
              </w:rPr>
              <w:t>Italy: 150</w:t>
            </w:r>
          </w:p>
        </w:tc>
        <w:tc>
          <w:tcPr>
            <w:tcW w:w="1441" w:type="dxa"/>
            <w:tcBorders>
              <w:top w:val="single" w:sz="4" w:space="0" w:color="000000"/>
              <w:left w:val="single" w:sz="4" w:space="0" w:color="000000"/>
              <w:bottom w:val="single" w:sz="4" w:space="0" w:color="000000"/>
            </w:tcBorders>
          </w:tcPr>
          <w:p w14:paraId="2DD22207" w14:textId="6DECC2A0" w:rsidR="000B36E1" w:rsidRPr="00911BD5" w:rsidRDefault="00000000">
            <w:pPr>
              <w:rPr>
                <w:rFonts w:asciiTheme="majorHAnsi" w:eastAsia="Play" w:hAnsiTheme="majorHAnsi" w:cs="Play"/>
              </w:rPr>
            </w:pPr>
            <w:r w:rsidRPr="00911BD5">
              <w:rPr>
                <w:rFonts w:asciiTheme="majorHAnsi" w:eastAsia="Play" w:hAnsiTheme="majorHAnsi" w:cs="Play"/>
              </w:rPr>
              <w:t xml:space="preserve">WP2 Final Report, </w:t>
            </w:r>
            <w:r w:rsidR="00116940" w:rsidRPr="00911BD5">
              <w:rPr>
                <w:rFonts w:asciiTheme="majorHAnsi" w:eastAsia="Play" w:hAnsiTheme="majorHAnsi" w:cs="Play"/>
              </w:rPr>
              <w:t>Sec 5.1</w:t>
            </w:r>
          </w:p>
        </w:tc>
      </w:tr>
      <w:tr w:rsidR="000B36E1" w:rsidRPr="00911BD5" w14:paraId="76C5D41F" w14:textId="77777777">
        <w:trPr>
          <w:cantSplit/>
          <w:jc w:val="center"/>
        </w:trPr>
        <w:tc>
          <w:tcPr>
            <w:tcW w:w="1756" w:type="dxa"/>
            <w:tcBorders>
              <w:top w:val="single" w:sz="4" w:space="0" w:color="000000"/>
              <w:bottom w:val="single" w:sz="4" w:space="0" w:color="000000"/>
            </w:tcBorders>
          </w:tcPr>
          <w:p w14:paraId="1F73267C" w14:textId="3C2A7F7F" w:rsidR="000B36E1" w:rsidRPr="00911BD5" w:rsidRDefault="00116940">
            <w:pPr>
              <w:rPr>
                <w:rFonts w:asciiTheme="majorHAnsi" w:eastAsia="Play" w:hAnsiTheme="majorHAnsi" w:cs="Play"/>
              </w:rPr>
            </w:pPr>
            <w:r w:rsidRPr="00911BD5">
              <w:rPr>
                <w:rFonts w:asciiTheme="majorHAnsi" w:eastAsia="Play" w:hAnsiTheme="majorHAnsi" w:cs="Play"/>
                <w:b/>
                <w:bCs/>
              </w:rPr>
              <w:t xml:space="preserve">Stakeholders </w:t>
            </w:r>
            <w:r w:rsidR="006856C0">
              <w:rPr>
                <w:rFonts w:asciiTheme="majorHAnsi" w:eastAsia="Play" w:hAnsiTheme="majorHAnsi" w:cs="Play"/>
                <w:b/>
                <w:bCs/>
              </w:rPr>
              <w:t>network</w:t>
            </w:r>
          </w:p>
        </w:tc>
        <w:tc>
          <w:tcPr>
            <w:tcW w:w="1031" w:type="dxa"/>
            <w:tcBorders>
              <w:top w:val="single" w:sz="4" w:space="0" w:color="000000"/>
              <w:left w:val="single" w:sz="4" w:space="0" w:color="000000"/>
              <w:bottom w:val="single" w:sz="4" w:space="0" w:color="000000"/>
            </w:tcBorders>
          </w:tcPr>
          <w:p w14:paraId="1F981746" w14:textId="345156E8" w:rsidR="000B36E1" w:rsidRPr="00911BD5" w:rsidRDefault="006709C9">
            <w:pPr>
              <w:rPr>
                <w:rFonts w:asciiTheme="majorHAnsi" w:eastAsia="Play" w:hAnsiTheme="majorHAnsi" w:cs="Play"/>
              </w:rPr>
            </w:pPr>
            <w:r w:rsidRPr="00911BD5">
              <w:rPr>
                <w:rFonts w:asciiTheme="majorHAnsi" w:eastAsia="Play" w:hAnsiTheme="majorHAnsi" w:cs="Play"/>
              </w:rPr>
              <w:t>6</w:t>
            </w:r>
            <w:r w:rsidR="00116940" w:rsidRPr="00911BD5">
              <w:rPr>
                <w:rFonts w:asciiTheme="majorHAnsi" w:eastAsia="Play" w:hAnsiTheme="majorHAnsi" w:cs="Play"/>
              </w:rPr>
              <w:t>0 entities</w:t>
            </w:r>
          </w:p>
        </w:tc>
        <w:tc>
          <w:tcPr>
            <w:tcW w:w="1286" w:type="dxa"/>
            <w:tcBorders>
              <w:top w:val="single" w:sz="4" w:space="0" w:color="000000"/>
              <w:left w:val="single" w:sz="4" w:space="0" w:color="000000"/>
              <w:bottom w:val="single" w:sz="4" w:space="0" w:color="000000"/>
            </w:tcBorders>
          </w:tcPr>
          <w:p w14:paraId="28C1A30F" w14:textId="2F7FBEF9" w:rsidR="000B36E1" w:rsidRPr="00911BD5" w:rsidRDefault="00116940">
            <w:pPr>
              <w:rPr>
                <w:rFonts w:asciiTheme="majorHAnsi" w:eastAsia="Play" w:hAnsiTheme="majorHAnsi" w:cs="Play"/>
              </w:rPr>
            </w:pPr>
            <w:r w:rsidRPr="00911BD5">
              <w:rPr>
                <w:rFonts w:asciiTheme="majorHAnsi" w:eastAsia="Play" w:hAnsiTheme="majorHAnsi" w:cs="Play"/>
              </w:rPr>
              <w:t>40</w:t>
            </w:r>
          </w:p>
        </w:tc>
        <w:tc>
          <w:tcPr>
            <w:tcW w:w="1505" w:type="dxa"/>
            <w:tcBorders>
              <w:top w:val="single" w:sz="4" w:space="0" w:color="000000"/>
              <w:left w:val="single" w:sz="4" w:space="0" w:color="000000"/>
              <w:bottom w:val="single" w:sz="4" w:space="0" w:color="000000"/>
            </w:tcBorders>
          </w:tcPr>
          <w:p w14:paraId="27994CFE" w14:textId="42403A78" w:rsidR="000B36E1" w:rsidRPr="00911BD5" w:rsidRDefault="006709C9">
            <w:pPr>
              <w:rPr>
                <w:rFonts w:asciiTheme="majorHAnsi" w:eastAsia="Play" w:hAnsiTheme="majorHAnsi" w:cs="Play"/>
              </w:rPr>
            </w:pPr>
            <w:r w:rsidRPr="00911BD5">
              <w:rPr>
                <w:rFonts w:asciiTheme="majorHAnsi" w:eastAsia="Play" w:hAnsiTheme="majorHAnsi" w:cs="Play"/>
              </w:rPr>
              <w:t>67%</w:t>
            </w:r>
          </w:p>
        </w:tc>
        <w:tc>
          <w:tcPr>
            <w:tcW w:w="1665" w:type="dxa"/>
            <w:tcBorders>
              <w:top w:val="single" w:sz="4" w:space="0" w:color="000000"/>
              <w:left w:val="single" w:sz="4" w:space="0" w:color="000000"/>
              <w:bottom w:val="single" w:sz="4" w:space="0" w:color="000000"/>
            </w:tcBorders>
          </w:tcPr>
          <w:p w14:paraId="0848BB8B" w14:textId="77777777" w:rsidR="00116940" w:rsidRPr="00911BD5" w:rsidRDefault="00116940" w:rsidP="00116940">
            <w:pPr>
              <w:rPr>
                <w:rFonts w:asciiTheme="majorHAnsi" w:eastAsia="Play" w:hAnsiTheme="majorHAnsi" w:cs="Play"/>
              </w:rPr>
            </w:pPr>
            <w:r w:rsidRPr="00911BD5">
              <w:rPr>
                <w:rFonts w:asciiTheme="majorHAnsi" w:eastAsia="Play" w:hAnsiTheme="majorHAnsi" w:cs="Play"/>
              </w:rPr>
              <w:t>Italy: 20 repairers</w:t>
            </w:r>
          </w:p>
          <w:p w14:paraId="3F2B7E3F" w14:textId="694F6F1A" w:rsidR="000B36E1" w:rsidRPr="00911BD5" w:rsidRDefault="00116940" w:rsidP="00116940">
            <w:pPr>
              <w:rPr>
                <w:rFonts w:asciiTheme="majorHAnsi" w:eastAsia="Play" w:hAnsiTheme="majorHAnsi" w:cs="Play"/>
              </w:rPr>
            </w:pPr>
            <w:r w:rsidRPr="00911BD5">
              <w:rPr>
                <w:rFonts w:asciiTheme="majorHAnsi" w:eastAsia="Play" w:hAnsiTheme="majorHAnsi" w:cs="Play"/>
              </w:rPr>
              <w:t xml:space="preserve"> Bulgaria: 20 partners</w:t>
            </w:r>
          </w:p>
        </w:tc>
        <w:tc>
          <w:tcPr>
            <w:tcW w:w="1441" w:type="dxa"/>
            <w:tcBorders>
              <w:top w:val="single" w:sz="4" w:space="0" w:color="000000"/>
              <w:left w:val="single" w:sz="4" w:space="0" w:color="000000"/>
              <w:bottom w:val="single" w:sz="4" w:space="0" w:color="000000"/>
            </w:tcBorders>
          </w:tcPr>
          <w:p w14:paraId="029705CA" w14:textId="2955EA1B" w:rsidR="000B36E1" w:rsidRPr="00911BD5" w:rsidRDefault="00000000">
            <w:pPr>
              <w:rPr>
                <w:rFonts w:asciiTheme="majorHAnsi" w:eastAsia="Play" w:hAnsiTheme="majorHAnsi" w:cs="Play"/>
              </w:rPr>
            </w:pPr>
            <w:r w:rsidRPr="00911BD5">
              <w:rPr>
                <w:rFonts w:asciiTheme="majorHAnsi" w:eastAsia="Play" w:hAnsiTheme="majorHAnsi" w:cs="Play"/>
              </w:rPr>
              <w:t xml:space="preserve">WP2 Final Report, </w:t>
            </w:r>
            <w:r w:rsidR="00116940" w:rsidRPr="00911BD5">
              <w:rPr>
                <w:rFonts w:asciiTheme="majorHAnsi" w:eastAsia="Play" w:hAnsiTheme="majorHAnsi" w:cs="Play"/>
              </w:rPr>
              <w:t>Sec 5.1</w:t>
            </w:r>
          </w:p>
        </w:tc>
      </w:tr>
      <w:tr w:rsidR="000B36E1" w:rsidRPr="00911BD5" w14:paraId="497A6732" w14:textId="77777777">
        <w:trPr>
          <w:cantSplit/>
          <w:jc w:val="center"/>
        </w:trPr>
        <w:tc>
          <w:tcPr>
            <w:tcW w:w="1756" w:type="dxa"/>
            <w:tcBorders>
              <w:top w:val="single" w:sz="4" w:space="0" w:color="000000"/>
              <w:bottom w:val="single" w:sz="4" w:space="0" w:color="000000"/>
            </w:tcBorders>
          </w:tcPr>
          <w:p w14:paraId="1E679CE1" w14:textId="23D4E35D" w:rsidR="000B36E1" w:rsidRPr="00911BD5" w:rsidRDefault="00116940">
            <w:pPr>
              <w:rPr>
                <w:rFonts w:asciiTheme="majorHAnsi" w:eastAsia="Play" w:hAnsiTheme="majorHAnsi" w:cs="Play"/>
              </w:rPr>
            </w:pPr>
            <w:r w:rsidRPr="00911BD5">
              <w:rPr>
                <w:rFonts w:asciiTheme="majorHAnsi" w:eastAsia="Play" w:hAnsiTheme="majorHAnsi" w:cs="Play"/>
                <w:b/>
                <w:bCs/>
              </w:rPr>
              <w:t>Estimated WEEE reduction</w:t>
            </w:r>
          </w:p>
        </w:tc>
        <w:tc>
          <w:tcPr>
            <w:tcW w:w="1031" w:type="dxa"/>
            <w:tcBorders>
              <w:top w:val="single" w:sz="4" w:space="0" w:color="000000"/>
              <w:left w:val="single" w:sz="4" w:space="0" w:color="000000"/>
              <w:bottom w:val="single" w:sz="4" w:space="0" w:color="000000"/>
            </w:tcBorders>
          </w:tcPr>
          <w:p w14:paraId="07FA38A3" w14:textId="6318A7E5" w:rsidR="000B36E1" w:rsidRPr="00911BD5" w:rsidRDefault="006709C9">
            <w:pPr>
              <w:rPr>
                <w:rFonts w:asciiTheme="majorHAnsi" w:eastAsia="Play" w:hAnsiTheme="majorHAnsi" w:cs="Play"/>
              </w:rPr>
            </w:pPr>
            <w:r w:rsidRPr="00911BD5">
              <w:rPr>
                <w:rFonts w:asciiTheme="majorHAnsi" w:eastAsia="Play" w:hAnsiTheme="majorHAnsi" w:cs="Play"/>
              </w:rPr>
              <w:t>2.250 kg</w:t>
            </w:r>
          </w:p>
        </w:tc>
        <w:tc>
          <w:tcPr>
            <w:tcW w:w="1286" w:type="dxa"/>
            <w:tcBorders>
              <w:top w:val="single" w:sz="4" w:space="0" w:color="000000"/>
              <w:left w:val="single" w:sz="4" w:space="0" w:color="000000"/>
              <w:bottom w:val="single" w:sz="4" w:space="0" w:color="000000"/>
            </w:tcBorders>
          </w:tcPr>
          <w:p w14:paraId="255B70FA" w14:textId="66C668C0" w:rsidR="000B36E1" w:rsidRPr="00911BD5" w:rsidRDefault="00116940">
            <w:pPr>
              <w:rPr>
                <w:rFonts w:asciiTheme="majorHAnsi" w:eastAsia="Play" w:hAnsiTheme="majorHAnsi" w:cs="Play"/>
              </w:rPr>
            </w:pPr>
            <w:r w:rsidRPr="00911BD5">
              <w:rPr>
                <w:rFonts w:asciiTheme="majorHAnsi" w:eastAsia="Play" w:hAnsiTheme="majorHAnsi" w:cs="Play"/>
              </w:rPr>
              <w:t>1,500 kg</w:t>
            </w:r>
          </w:p>
        </w:tc>
        <w:tc>
          <w:tcPr>
            <w:tcW w:w="1505" w:type="dxa"/>
            <w:tcBorders>
              <w:top w:val="single" w:sz="4" w:space="0" w:color="000000"/>
              <w:left w:val="single" w:sz="4" w:space="0" w:color="000000"/>
              <w:bottom w:val="single" w:sz="4" w:space="0" w:color="000000"/>
            </w:tcBorders>
          </w:tcPr>
          <w:p w14:paraId="4009DD4B" w14:textId="6A74DC01" w:rsidR="000B36E1" w:rsidRPr="00911BD5" w:rsidRDefault="006709C9">
            <w:pPr>
              <w:rPr>
                <w:rFonts w:asciiTheme="majorHAnsi" w:eastAsia="Play" w:hAnsiTheme="majorHAnsi" w:cs="Play"/>
              </w:rPr>
            </w:pPr>
            <w:r w:rsidRPr="00911BD5">
              <w:rPr>
                <w:rFonts w:asciiTheme="majorHAnsi" w:eastAsia="Play" w:hAnsiTheme="majorHAnsi" w:cs="Play"/>
              </w:rPr>
              <w:t>67%</w:t>
            </w:r>
          </w:p>
        </w:tc>
        <w:tc>
          <w:tcPr>
            <w:tcW w:w="1665" w:type="dxa"/>
            <w:tcBorders>
              <w:top w:val="single" w:sz="4" w:space="0" w:color="000000"/>
              <w:left w:val="single" w:sz="4" w:space="0" w:color="000000"/>
              <w:bottom w:val="single" w:sz="4" w:space="0" w:color="000000"/>
            </w:tcBorders>
          </w:tcPr>
          <w:p w14:paraId="557B621B" w14:textId="1740E6AE" w:rsidR="00116940" w:rsidRPr="00911BD5" w:rsidRDefault="00000000">
            <w:pPr>
              <w:rPr>
                <w:rFonts w:asciiTheme="majorHAnsi" w:eastAsia="Play" w:hAnsiTheme="majorHAnsi" w:cs="Play"/>
              </w:rPr>
            </w:pPr>
            <w:r w:rsidRPr="00911BD5">
              <w:rPr>
                <w:rFonts w:asciiTheme="majorHAnsi" w:eastAsia="Play" w:hAnsiTheme="majorHAnsi" w:cs="Play"/>
              </w:rPr>
              <w:t>High</w:t>
            </w:r>
            <w:r w:rsidR="00116940" w:rsidRPr="00911BD5">
              <w:rPr>
                <w:rFonts w:asciiTheme="majorHAnsi" w:eastAsia="Play" w:hAnsiTheme="majorHAnsi" w:cs="Play"/>
              </w:rPr>
              <w:t xml:space="preserve"> Bulgaria</w:t>
            </w:r>
          </w:p>
        </w:tc>
        <w:tc>
          <w:tcPr>
            <w:tcW w:w="1441" w:type="dxa"/>
            <w:tcBorders>
              <w:top w:val="single" w:sz="4" w:space="0" w:color="000000"/>
              <w:left w:val="single" w:sz="4" w:space="0" w:color="000000"/>
              <w:bottom w:val="single" w:sz="4" w:space="0" w:color="000000"/>
            </w:tcBorders>
          </w:tcPr>
          <w:p w14:paraId="796F9A2B" w14:textId="48EEF308" w:rsidR="000B36E1" w:rsidRPr="00911BD5" w:rsidRDefault="00116940">
            <w:pPr>
              <w:rPr>
                <w:rFonts w:asciiTheme="majorHAnsi" w:eastAsia="Play" w:hAnsiTheme="majorHAnsi" w:cs="Play"/>
              </w:rPr>
            </w:pPr>
            <w:r w:rsidRPr="00911BD5">
              <w:rPr>
                <w:rFonts w:asciiTheme="majorHAnsi" w:eastAsia="Play" w:hAnsiTheme="majorHAnsi" w:cs="Play"/>
              </w:rPr>
              <w:t>WP2 Final Report, Bulgaria KPI</w:t>
            </w:r>
          </w:p>
        </w:tc>
      </w:tr>
      <w:tr w:rsidR="00116940" w:rsidRPr="00911BD5" w14:paraId="5DEFF0C0" w14:textId="77777777">
        <w:trPr>
          <w:cantSplit/>
          <w:jc w:val="center"/>
        </w:trPr>
        <w:tc>
          <w:tcPr>
            <w:tcW w:w="1756" w:type="dxa"/>
            <w:tcBorders>
              <w:top w:val="single" w:sz="4" w:space="0" w:color="000000"/>
              <w:bottom w:val="single" w:sz="4" w:space="0" w:color="000000"/>
            </w:tcBorders>
          </w:tcPr>
          <w:p w14:paraId="795083CC" w14:textId="4ACE1275" w:rsidR="00116940" w:rsidRPr="00911BD5" w:rsidRDefault="00116940">
            <w:pPr>
              <w:rPr>
                <w:rFonts w:asciiTheme="majorHAnsi" w:eastAsia="Play" w:hAnsiTheme="majorHAnsi" w:cs="Play"/>
                <w:b/>
                <w:bCs/>
              </w:rPr>
            </w:pPr>
            <w:r w:rsidRPr="00911BD5">
              <w:rPr>
                <w:rFonts w:asciiTheme="majorHAnsi" w:eastAsia="Play" w:hAnsiTheme="majorHAnsi" w:cs="Play"/>
                <w:b/>
                <w:bCs/>
              </w:rPr>
              <w:t>Cost savings for users</w:t>
            </w:r>
          </w:p>
        </w:tc>
        <w:tc>
          <w:tcPr>
            <w:tcW w:w="1031" w:type="dxa"/>
            <w:tcBorders>
              <w:top w:val="single" w:sz="4" w:space="0" w:color="000000"/>
              <w:left w:val="single" w:sz="4" w:space="0" w:color="000000"/>
              <w:bottom w:val="single" w:sz="4" w:space="0" w:color="000000"/>
            </w:tcBorders>
          </w:tcPr>
          <w:p w14:paraId="20DD34C7" w14:textId="162F07FD" w:rsidR="00116940" w:rsidRPr="00911BD5" w:rsidRDefault="006709C9">
            <w:pPr>
              <w:rPr>
                <w:rFonts w:asciiTheme="majorHAnsi" w:eastAsia="Play" w:hAnsiTheme="majorHAnsi" w:cs="Play"/>
              </w:rPr>
            </w:pPr>
            <w:r w:rsidRPr="00911BD5">
              <w:rPr>
                <w:rFonts w:asciiTheme="majorHAnsi" w:eastAsia="Play" w:hAnsiTheme="majorHAnsi" w:cs="Play"/>
              </w:rPr>
              <w:t>€7.500</w:t>
            </w:r>
          </w:p>
        </w:tc>
        <w:tc>
          <w:tcPr>
            <w:tcW w:w="1286" w:type="dxa"/>
            <w:tcBorders>
              <w:top w:val="single" w:sz="4" w:space="0" w:color="000000"/>
              <w:left w:val="single" w:sz="4" w:space="0" w:color="000000"/>
              <w:bottom w:val="single" w:sz="4" w:space="0" w:color="000000"/>
            </w:tcBorders>
          </w:tcPr>
          <w:p w14:paraId="613E7FF2" w14:textId="705537C7" w:rsidR="00116940" w:rsidRPr="00911BD5" w:rsidRDefault="00116940">
            <w:pPr>
              <w:rPr>
                <w:rFonts w:asciiTheme="majorHAnsi" w:eastAsia="Play" w:hAnsiTheme="majorHAnsi" w:cs="Play"/>
              </w:rPr>
            </w:pPr>
            <w:r w:rsidRPr="00911BD5">
              <w:rPr>
                <w:rFonts w:asciiTheme="majorHAnsi" w:eastAsia="Play" w:hAnsiTheme="majorHAnsi" w:cs="Play"/>
              </w:rPr>
              <w:t>€5,000</w:t>
            </w:r>
          </w:p>
        </w:tc>
        <w:tc>
          <w:tcPr>
            <w:tcW w:w="1505" w:type="dxa"/>
            <w:tcBorders>
              <w:top w:val="single" w:sz="4" w:space="0" w:color="000000"/>
              <w:left w:val="single" w:sz="4" w:space="0" w:color="000000"/>
              <w:bottom w:val="single" w:sz="4" w:space="0" w:color="000000"/>
            </w:tcBorders>
          </w:tcPr>
          <w:p w14:paraId="35BF55F5" w14:textId="47C109C5" w:rsidR="00116940" w:rsidRPr="00911BD5" w:rsidRDefault="006709C9">
            <w:pPr>
              <w:rPr>
                <w:rFonts w:asciiTheme="majorHAnsi" w:eastAsia="Play" w:hAnsiTheme="majorHAnsi" w:cs="Play"/>
              </w:rPr>
            </w:pPr>
            <w:r w:rsidRPr="00911BD5">
              <w:rPr>
                <w:rFonts w:asciiTheme="majorHAnsi" w:eastAsia="Play" w:hAnsiTheme="majorHAnsi" w:cs="Play"/>
              </w:rPr>
              <w:t>67</w:t>
            </w:r>
            <w:r w:rsidR="00116940" w:rsidRPr="00911BD5">
              <w:rPr>
                <w:rFonts w:asciiTheme="majorHAnsi" w:eastAsia="Play" w:hAnsiTheme="majorHAnsi" w:cs="Play"/>
              </w:rPr>
              <w:t>%</w:t>
            </w:r>
          </w:p>
        </w:tc>
        <w:tc>
          <w:tcPr>
            <w:tcW w:w="1665" w:type="dxa"/>
            <w:tcBorders>
              <w:top w:val="single" w:sz="4" w:space="0" w:color="000000"/>
              <w:left w:val="single" w:sz="4" w:space="0" w:color="000000"/>
              <w:bottom w:val="single" w:sz="4" w:space="0" w:color="000000"/>
            </w:tcBorders>
          </w:tcPr>
          <w:p w14:paraId="08517931" w14:textId="664152C2" w:rsidR="00116940" w:rsidRPr="00911BD5" w:rsidRDefault="00116940">
            <w:pPr>
              <w:rPr>
                <w:rFonts w:asciiTheme="majorHAnsi" w:eastAsia="Play" w:hAnsiTheme="majorHAnsi" w:cs="Play"/>
              </w:rPr>
            </w:pPr>
            <w:r w:rsidRPr="00911BD5">
              <w:rPr>
                <w:rFonts w:asciiTheme="majorHAnsi" w:eastAsia="Play" w:hAnsiTheme="majorHAnsi" w:cs="Play"/>
              </w:rPr>
              <w:t>Bulgaria specific target</w:t>
            </w:r>
          </w:p>
        </w:tc>
        <w:tc>
          <w:tcPr>
            <w:tcW w:w="1441" w:type="dxa"/>
            <w:tcBorders>
              <w:top w:val="single" w:sz="4" w:space="0" w:color="000000"/>
              <w:left w:val="single" w:sz="4" w:space="0" w:color="000000"/>
              <w:bottom w:val="single" w:sz="4" w:space="0" w:color="000000"/>
            </w:tcBorders>
          </w:tcPr>
          <w:p w14:paraId="233FE3B7" w14:textId="627DCF91" w:rsidR="00116940" w:rsidRPr="00911BD5" w:rsidRDefault="00116940">
            <w:pPr>
              <w:rPr>
                <w:rFonts w:asciiTheme="majorHAnsi" w:eastAsia="Play" w:hAnsiTheme="majorHAnsi" w:cs="Play"/>
              </w:rPr>
            </w:pPr>
            <w:r w:rsidRPr="00911BD5">
              <w:rPr>
                <w:rFonts w:asciiTheme="majorHAnsi" w:eastAsia="Play" w:hAnsiTheme="majorHAnsi" w:cs="Play"/>
              </w:rPr>
              <w:t>WP2 Final Report, Bulgaria KPI</w:t>
            </w:r>
          </w:p>
          <w:p w14:paraId="38A2F078" w14:textId="77777777" w:rsidR="00116940" w:rsidRPr="00911BD5" w:rsidRDefault="00116940" w:rsidP="00116940">
            <w:pPr>
              <w:rPr>
                <w:rFonts w:asciiTheme="majorHAnsi" w:eastAsia="Play" w:hAnsiTheme="majorHAnsi" w:cs="Play"/>
              </w:rPr>
            </w:pPr>
          </w:p>
        </w:tc>
      </w:tr>
      <w:tr w:rsidR="00116940" w:rsidRPr="00911BD5" w14:paraId="0E0CE256" w14:textId="77777777">
        <w:trPr>
          <w:cantSplit/>
          <w:jc w:val="center"/>
        </w:trPr>
        <w:tc>
          <w:tcPr>
            <w:tcW w:w="1756" w:type="dxa"/>
            <w:tcBorders>
              <w:top w:val="single" w:sz="4" w:space="0" w:color="000000"/>
              <w:bottom w:val="single" w:sz="4" w:space="0" w:color="000000"/>
            </w:tcBorders>
          </w:tcPr>
          <w:p w14:paraId="06DDA039" w14:textId="74479D43" w:rsidR="00116940" w:rsidRPr="00911BD5" w:rsidRDefault="00116940">
            <w:pPr>
              <w:rPr>
                <w:rFonts w:asciiTheme="majorHAnsi" w:eastAsia="Play" w:hAnsiTheme="majorHAnsi" w:cs="Play"/>
                <w:b/>
                <w:bCs/>
              </w:rPr>
            </w:pPr>
            <w:r w:rsidRPr="00911BD5">
              <w:rPr>
                <w:rFonts w:asciiTheme="majorHAnsi" w:eastAsia="Play" w:hAnsiTheme="majorHAnsi" w:cs="Play"/>
                <w:b/>
                <w:bCs/>
              </w:rPr>
              <w:t>CO2 emissions avoided</w:t>
            </w:r>
          </w:p>
        </w:tc>
        <w:tc>
          <w:tcPr>
            <w:tcW w:w="1031" w:type="dxa"/>
            <w:tcBorders>
              <w:top w:val="single" w:sz="4" w:space="0" w:color="000000"/>
              <w:left w:val="single" w:sz="4" w:space="0" w:color="000000"/>
              <w:bottom w:val="single" w:sz="4" w:space="0" w:color="000000"/>
            </w:tcBorders>
          </w:tcPr>
          <w:p w14:paraId="7F586E37" w14:textId="4A259BB0" w:rsidR="00116940" w:rsidRPr="00911BD5" w:rsidRDefault="006709C9">
            <w:pPr>
              <w:rPr>
                <w:rFonts w:asciiTheme="majorHAnsi" w:eastAsia="Play" w:hAnsiTheme="majorHAnsi" w:cs="Play"/>
              </w:rPr>
            </w:pPr>
            <w:r w:rsidRPr="00911BD5">
              <w:rPr>
                <w:rFonts w:asciiTheme="majorHAnsi" w:eastAsia="Play" w:hAnsiTheme="majorHAnsi" w:cs="Play"/>
              </w:rPr>
              <w:t>3</w:t>
            </w:r>
            <w:r w:rsidR="00116940" w:rsidRPr="00911BD5">
              <w:rPr>
                <w:rFonts w:asciiTheme="majorHAnsi" w:eastAsia="Play" w:hAnsiTheme="majorHAnsi" w:cs="Play"/>
              </w:rPr>
              <w:t>.</w:t>
            </w:r>
            <w:r w:rsidRPr="00911BD5">
              <w:rPr>
                <w:rFonts w:asciiTheme="majorHAnsi" w:eastAsia="Play" w:hAnsiTheme="majorHAnsi" w:cs="Play"/>
              </w:rPr>
              <w:t>7</w:t>
            </w:r>
            <w:r w:rsidR="00116940" w:rsidRPr="00911BD5">
              <w:rPr>
                <w:rFonts w:asciiTheme="majorHAnsi" w:eastAsia="Play" w:hAnsiTheme="majorHAnsi" w:cs="Play"/>
              </w:rPr>
              <w:t>5 tons</w:t>
            </w:r>
          </w:p>
        </w:tc>
        <w:tc>
          <w:tcPr>
            <w:tcW w:w="1286" w:type="dxa"/>
            <w:tcBorders>
              <w:top w:val="single" w:sz="4" w:space="0" w:color="000000"/>
              <w:left w:val="single" w:sz="4" w:space="0" w:color="000000"/>
              <w:bottom w:val="single" w:sz="4" w:space="0" w:color="000000"/>
            </w:tcBorders>
          </w:tcPr>
          <w:p w14:paraId="7E892711" w14:textId="6923128E" w:rsidR="00116940" w:rsidRPr="00911BD5" w:rsidRDefault="00116940">
            <w:pPr>
              <w:rPr>
                <w:rFonts w:asciiTheme="majorHAnsi" w:eastAsia="Play" w:hAnsiTheme="majorHAnsi" w:cs="Play"/>
              </w:rPr>
            </w:pPr>
            <w:r w:rsidRPr="00911BD5">
              <w:rPr>
                <w:rFonts w:asciiTheme="majorHAnsi" w:eastAsia="Play" w:hAnsiTheme="majorHAnsi" w:cs="Play"/>
              </w:rPr>
              <w:t>2.5 tons</w:t>
            </w:r>
          </w:p>
        </w:tc>
        <w:tc>
          <w:tcPr>
            <w:tcW w:w="1505" w:type="dxa"/>
            <w:tcBorders>
              <w:top w:val="single" w:sz="4" w:space="0" w:color="000000"/>
              <w:left w:val="single" w:sz="4" w:space="0" w:color="000000"/>
              <w:bottom w:val="single" w:sz="4" w:space="0" w:color="000000"/>
            </w:tcBorders>
          </w:tcPr>
          <w:p w14:paraId="6EACB760" w14:textId="33AEF2EB" w:rsidR="00116940" w:rsidRPr="00911BD5" w:rsidRDefault="006709C9">
            <w:pPr>
              <w:rPr>
                <w:rFonts w:asciiTheme="majorHAnsi" w:eastAsia="Play" w:hAnsiTheme="majorHAnsi" w:cs="Play"/>
              </w:rPr>
            </w:pPr>
            <w:r w:rsidRPr="00911BD5">
              <w:rPr>
                <w:rFonts w:asciiTheme="majorHAnsi" w:eastAsia="Play" w:hAnsiTheme="majorHAnsi" w:cs="Play"/>
              </w:rPr>
              <w:t>67%</w:t>
            </w:r>
          </w:p>
        </w:tc>
        <w:tc>
          <w:tcPr>
            <w:tcW w:w="1665" w:type="dxa"/>
            <w:tcBorders>
              <w:top w:val="single" w:sz="4" w:space="0" w:color="000000"/>
              <w:left w:val="single" w:sz="4" w:space="0" w:color="000000"/>
              <w:bottom w:val="single" w:sz="4" w:space="0" w:color="000000"/>
            </w:tcBorders>
          </w:tcPr>
          <w:p w14:paraId="7303D5FB" w14:textId="2476FF91" w:rsidR="00116940" w:rsidRPr="00911BD5" w:rsidRDefault="00116940">
            <w:pPr>
              <w:rPr>
                <w:rFonts w:asciiTheme="majorHAnsi" w:eastAsia="Play" w:hAnsiTheme="majorHAnsi" w:cs="Play"/>
              </w:rPr>
            </w:pPr>
            <w:r w:rsidRPr="00911BD5">
              <w:rPr>
                <w:rFonts w:asciiTheme="majorHAnsi" w:eastAsia="Play" w:hAnsiTheme="majorHAnsi" w:cs="Play"/>
              </w:rPr>
              <w:t>Bulgaria specific target</w:t>
            </w:r>
          </w:p>
        </w:tc>
        <w:tc>
          <w:tcPr>
            <w:tcW w:w="1441" w:type="dxa"/>
            <w:tcBorders>
              <w:top w:val="single" w:sz="4" w:space="0" w:color="000000"/>
              <w:left w:val="single" w:sz="4" w:space="0" w:color="000000"/>
              <w:bottom w:val="single" w:sz="4" w:space="0" w:color="000000"/>
            </w:tcBorders>
          </w:tcPr>
          <w:p w14:paraId="753504FA" w14:textId="0D763887" w:rsidR="00116940" w:rsidRPr="00911BD5" w:rsidRDefault="00116940">
            <w:pPr>
              <w:rPr>
                <w:rFonts w:asciiTheme="majorHAnsi" w:eastAsia="Play" w:hAnsiTheme="majorHAnsi" w:cs="Play"/>
              </w:rPr>
            </w:pPr>
            <w:r w:rsidRPr="00911BD5">
              <w:rPr>
                <w:rFonts w:asciiTheme="majorHAnsi" w:eastAsia="Play" w:hAnsiTheme="majorHAnsi" w:cs="Play"/>
              </w:rPr>
              <w:t>WP2 Final Report, Bulgaria KPI</w:t>
            </w:r>
          </w:p>
        </w:tc>
      </w:tr>
      <w:tr w:rsidR="000223F2" w:rsidRPr="00911BD5" w14:paraId="71AE8906" w14:textId="77777777">
        <w:trPr>
          <w:cantSplit/>
          <w:jc w:val="center"/>
        </w:trPr>
        <w:tc>
          <w:tcPr>
            <w:tcW w:w="1756" w:type="dxa"/>
            <w:tcBorders>
              <w:top w:val="single" w:sz="4" w:space="0" w:color="000000"/>
              <w:bottom w:val="single" w:sz="4" w:space="0" w:color="000000"/>
            </w:tcBorders>
          </w:tcPr>
          <w:p w14:paraId="5C6A5154" w14:textId="1B512263" w:rsidR="000223F2" w:rsidRPr="00911BD5" w:rsidRDefault="000223F2" w:rsidP="000223F2">
            <w:pPr>
              <w:rPr>
                <w:rFonts w:asciiTheme="majorHAnsi" w:eastAsia="Play" w:hAnsiTheme="majorHAnsi" w:cs="Play"/>
                <w:b/>
                <w:bCs/>
              </w:rPr>
            </w:pPr>
            <w:r w:rsidRPr="00911BD5">
              <w:rPr>
                <w:rFonts w:asciiTheme="majorHAnsi" w:eastAsia="Play" w:hAnsiTheme="majorHAnsi" w:cs="Play"/>
                <w:b/>
                <w:bCs/>
              </w:rPr>
              <w:t>Average Reuse Rate (%)</w:t>
            </w:r>
          </w:p>
        </w:tc>
        <w:tc>
          <w:tcPr>
            <w:tcW w:w="1031" w:type="dxa"/>
            <w:tcBorders>
              <w:top w:val="single" w:sz="4" w:space="0" w:color="000000"/>
              <w:left w:val="single" w:sz="4" w:space="0" w:color="000000"/>
              <w:bottom w:val="single" w:sz="4" w:space="0" w:color="000000"/>
            </w:tcBorders>
          </w:tcPr>
          <w:p w14:paraId="75BEE8F7" w14:textId="6643E7E7" w:rsidR="000223F2" w:rsidRPr="00911BD5" w:rsidRDefault="000223F2" w:rsidP="000223F2">
            <w:pPr>
              <w:rPr>
                <w:rFonts w:asciiTheme="majorHAnsi" w:eastAsia="Play" w:hAnsiTheme="majorHAnsi" w:cs="Play"/>
              </w:rPr>
            </w:pPr>
            <w:r w:rsidRPr="00911BD5">
              <w:rPr>
                <w:rFonts w:asciiTheme="majorHAnsi" w:eastAsia="Play" w:hAnsiTheme="majorHAnsi" w:cs="Play"/>
              </w:rPr>
              <w:t>50%</w:t>
            </w:r>
          </w:p>
        </w:tc>
        <w:tc>
          <w:tcPr>
            <w:tcW w:w="1286" w:type="dxa"/>
            <w:tcBorders>
              <w:top w:val="single" w:sz="4" w:space="0" w:color="000000"/>
              <w:left w:val="single" w:sz="4" w:space="0" w:color="000000"/>
              <w:bottom w:val="single" w:sz="4" w:space="0" w:color="000000"/>
            </w:tcBorders>
          </w:tcPr>
          <w:p w14:paraId="37FC49B0" w14:textId="562475F0" w:rsidR="000223F2" w:rsidRPr="00911BD5" w:rsidRDefault="000223F2" w:rsidP="000223F2">
            <w:pPr>
              <w:rPr>
                <w:rFonts w:asciiTheme="majorHAnsi" w:eastAsia="Play" w:hAnsiTheme="majorHAnsi" w:cs="Play"/>
              </w:rPr>
            </w:pPr>
            <w:r w:rsidRPr="00911BD5">
              <w:rPr>
                <w:rFonts w:asciiTheme="majorHAnsi" w:eastAsia="Play" w:hAnsiTheme="majorHAnsi" w:cs="Play"/>
              </w:rPr>
              <w:t>50%</w:t>
            </w:r>
          </w:p>
        </w:tc>
        <w:tc>
          <w:tcPr>
            <w:tcW w:w="1505" w:type="dxa"/>
            <w:tcBorders>
              <w:top w:val="single" w:sz="4" w:space="0" w:color="000000"/>
              <w:left w:val="single" w:sz="4" w:space="0" w:color="000000"/>
              <w:bottom w:val="single" w:sz="4" w:space="0" w:color="000000"/>
            </w:tcBorders>
          </w:tcPr>
          <w:p w14:paraId="64A3A573" w14:textId="4FCD5D0A" w:rsidR="000223F2" w:rsidRPr="00911BD5" w:rsidRDefault="000223F2" w:rsidP="000223F2">
            <w:pPr>
              <w:rPr>
                <w:rFonts w:asciiTheme="majorHAnsi" w:eastAsia="Play" w:hAnsiTheme="majorHAnsi" w:cs="Play"/>
              </w:rPr>
            </w:pPr>
            <w:r w:rsidRPr="00911BD5">
              <w:rPr>
                <w:rFonts w:asciiTheme="majorHAnsi" w:eastAsia="Play" w:hAnsiTheme="majorHAnsi" w:cs="Play"/>
              </w:rPr>
              <w:t>100%</w:t>
            </w:r>
          </w:p>
        </w:tc>
        <w:tc>
          <w:tcPr>
            <w:tcW w:w="1665" w:type="dxa"/>
            <w:tcBorders>
              <w:top w:val="single" w:sz="4" w:space="0" w:color="000000"/>
              <w:left w:val="single" w:sz="4" w:space="0" w:color="000000"/>
              <w:bottom w:val="single" w:sz="4" w:space="0" w:color="000000"/>
            </w:tcBorders>
          </w:tcPr>
          <w:p w14:paraId="14773535" w14:textId="77777777" w:rsidR="000223F2" w:rsidRPr="00911BD5" w:rsidRDefault="000223F2" w:rsidP="000223F2">
            <w:pPr>
              <w:rPr>
                <w:rFonts w:asciiTheme="majorHAnsi" w:eastAsia="Play" w:hAnsiTheme="majorHAnsi" w:cs="Play"/>
              </w:rPr>
            </w:pPr>
            <w:r w:rsidRPr="00911BD5">
              <w:rPr>
                <w:rFonts w:asciiTheme="majorHAnsi" w:eastAsia="Play" w:hAnsiTheme="majorHAnsi" w:cs="Play"/>
              </w:rPr>
              <w:t>Italy: 25%–60%</w:t>
            </w:r>
          </w:p>
          <w:p w14:paraId="750F15AD" w14:textId="3C40ED4C" w:rsidR="000223F2" w:rsidRPr="00911BD5" w:rsidRDefault="000223F2" w:rsidP="000223F2">
            <w:pPr>
              <w:rPr>
                <w:rFonts w:asciiTheme="majorHAnsi" w:eastAsia="Play" w:hAnsiTheme="majorHAnsi" w:cs="Play"/>
              </w:rPr>
            </w:pPr>
            <w:r w:rsidRPr="00911BD5">
              <w:rPr>
                <w:rFonts w:asciiTheme="majorHAnsi" w:eastAsia="Play" w:hAnsiTheme="majorHAnsi" w:cs="Play"/>
              </w:rPr>
              <w:t xml:space="preserve"> Bulgaria: 60%</w:t>
            </w:r>
          </w:p>
        </w:tc>
        <w:tc>
          <w:tcPr>
            <w:tcW w:w="1441" w:type="dxa"/>
            <w:tcBorders>
              <w:top w:val="single" w:sz="4" w:space="0" w:color="000000"/>
              <w:left w:val="single" w:sz="4" w:space="0" w:color="000000"/>
              <w:bottom w:val="single" w:sz="4" w:space="0" w:color="000000"/>
            </w:tcBorders>
          </w:tcPr>
          <w:p w14:paraId="5EBF7313" w14:textId="21DC5B8C" w:rsidR="000223F2" w:rsidRPr="00911BD5" w:rsidRDefault="000223F2" w:rsidP="000223F2">
            <w:pPr>
              <w:rPr>
                <w:rFonts w:asciiTheme="majorHAnsi" w:eastAsia="Play" w:hAnsiTheme="majorHAnsi" w:cs="Play"/>
              </w:rPr>
            </w:pPr>
            <w:r w:rsidRPr="00911BD5">
              <w:rPr>
                <w:rFonts w:asciiTheme="majorHAnsi" w:eastAsia="Play" w:hAnsiTheme="majorHAnsi" w:cs="Play"/>
              </w:rPr>
              <w:t>WP2 Final Report, Sec 5.1</w:t>
            </w:r>
          </w:p>
        </w:tc>
      </w:tr>
    </w:tbl>
    <w:p w14:paraId="77D5C180" w14:textId="77777777" w:rsidR="000B36E1" w:rsidRPr="00911BD5" w:rsidRDefault="000B36E1">
      <w:pPr>
        <w:rPr>
          <w:rFonts w:asciiTheme="majorHAnsi" w:eastAsia="Play" w:hAnsiTheme="majorHAnsi" w:cs="Play"/>
        </w:rPr>
      </w:pPr>
    </w:p>
    <w:p w14:paraId="5E6D519F"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Notes:</w:t>
      </w:r>
    </w:p>
    <w:p w14:paraId="22E11FFF" w14:textId="4655284F" w:rsidR="000B36E1" w:rsidRPr="00911BD5" w:rsidRDefault="00000000">
      <w:pPr>
        <w:numPr>
          <w:ilvl w:val="0"/>
          <w:numId w:val="6"/>
        </w:numPr>
        <w:rPr>
          <w:rFonts w:asciiTheme="majorHAnsi" w:eastAsia="Play" w:hAnsiTheme="majorHAnsi" w:cs="Play"/>
        </w:rPr>
      </w:pPr>
      <w:r w:rsidRPr="00911BD5">
        <w:rPr>
          <w:rFonts w:asciiTheme="majorHAnsi" w:eastAsia="Play" w:hAnsiTheme="majorHAnsi" w:cs="Play"/>
        </w:rPr>
        <w:t xml:space="preserve">All data extracted directly from WP2 Final Report (date: </w:t>
      </w:r>
      <w:r w:rsidR="00193E5A" w:rsidRPr="00911BD5">
        <w:rPr>
          <w:rFonts w:asciiTheme="majorHAnsi" w:eastAsia="Play" w:hAnsiTheme="majorHAnsi" w:cs="Play"/>
        </w:rPr>
        <w:t>10-04-2026</w:t>
      </w:r>
      <w:r w:rsidRPr="00911BD5">
        <w:rPr>
          <w:rFonts w:asciiTheme="majorHAnsi" w:eastAsia="Play" w:hAnsiTheme="majorHAnsi" w:cs="Play"/>
        </w:rPr>
        <w:t>).</w:t>
      </w:r>
    </w:p>
    <w:p w14:paraId="31954E4F" w14:textId="77777777" w:rsidR="000B36E1" w:rsidRPr="00911BD5" w:rsidRDefault="00000000">
      <w:pPr>
        <w:numPr>
          <w:ilvl w:val="0"/>
          <w:numId w:val="6"/>
        </w:numPr>
        <w:rPr>
          <w:rFonts w:asciiTheme="majorHAnsi" w:eastAsia="Play" w:hAnsiTheme="majorHAnsi" w:cs="Play"/>
        </w:rPr>
      </w:pPr>
      <w:r w:rsidRPr="00911BD5">
        <w:rPr>
          <w:rFonts w:asciiTheme="majorHAnsi" w:eastAsia="Play" w:hAnsiTheme="majorHAnsi" w:cs="Play"/>
        </w:rPr>
        <w:t>Range column shows territorial variation; helps identify scalability patterns.</w:t>
      </w:r>
    </w:p>
    <w:p w14:paraId="47E9E9EA" w14:textId="77777777" w:rsidR="000B36E1" w:rsidRPr="00911BD5" w:rsidRDefault="00000000">
      <w:pPr>
        <w:numPr>
          <w:ilvl w:val="0"/>
          <w:numId w:val="6"/>
        </w:numPr>
        <w:rPr>
          <w:rFonts w:asciiTheme="majorHAnsi" w:eastAsia="Play" w:hAnsiTheme="majorHAnsi" w:cs="Play"/>
        </w:rPr>
      </w:pPr>
      <w:r w:rsidRPr="00911BD5">
        <w:rPr>
          <w:rFonts w:asciiTheme="majorHAnsi" w:eastAsia="Play" w:hAnsiTheme="majorHAnsi" w:cs="Play"/>
        </w:rPr>
        <w:t>Data sources traceable; no estimation.</w:t>
      </w:r>
    </w:p>
    <w:p w14:paraId="73BF9F34" w14:textId="77777777" w:rsidR="000B36E1" w:rsidRPr="00911BD5" w:rsidRDefault="007C558F">
      <w:pPr>
        <w:rPr>
          <w:rFonts w:asciiTheme="majorHAnsi" w:eastAsia="Play" w:hAnsiTheme="majorHAnsi" w:cs="Play"/>
        </w:rPr>
      </w:pPr>
      <w:r>
        <w:rPr>
          <w:rFonts w:asciiTheme="majorHAnsi" w:hAnsiTheme="majorHAnsi"/>
          <w:noProof/>
        </w:rPr>
        <w:pict w14:anchorId="72C4761B">
          <v:rect id="_x0000_i1032" alt="" style="width:353.25pt;height:.05pt;mso-width-percent:0;mso-height-percent:0;mso-width-percent:0;mso-height-percent:0" o:hrpct="733" o:hralign="center" o:hrstd="t" o:hr="t" fillcolor="#a0a0a0" stroked="f"/>
        </w:pict>
      </w:r>
    </w:p>
    <w:p w14:paraId="194B8EFF" w14:textId="77777777" w:rsidR="000B36E1" w:rsidRPr="00911BD5" w:rsidRDefault="00000000">
      <w:pPr>
        <w:spacing w:before="240" w:line="271" w:lineRule="auto"/>
        <w:rPr>
          <w:rFonts w:asciiTheme="majorHAnsi" w:eastAsia="Play" w:hAnsiTheme="majorHAnsi" w:cs="Play"/>
        </w:rPr>
      </w:pPr>
      <w:bookmarkStart w:id="11" w:name="bookmark=id.r66tn3rvmax" w:colFirst="0" w:colLast="0"/>
      <w:bookmarkEnd w:id="11"/>
      <w:r w:rsidRPr="00911BD5">
        <w:rPr>
          <w:rFonts w:asciiTheme="majorHAnsi" w:eastAsia="Play" w:hAnsiTheme="majorHAnsi" w:cs="Play"/>
          <w:b/>
          <w:bCs/>
          <w:sz w:val="42"/>
          <w:szCs w:val="42"/>
        </w:rPr>
        <w:t>SECTION 4: CRITICAL SUCCESS FACTORS</w:t>
      </w:r>
    </w:p>
    <w:p w14:paraId="02B97EEB" w14:textId="77777777" w:rsidR="000B36E1" w:rsidRPr="00911BD5" w:rsidRDefault="00000000">
      <w:pPr>
        <w:spacing w:before="240" w:line="271" w:lineRule="auto"/>
        <w:rPr>
          <w:rFonts w:asciiTheme="majorHAnsi" w:eastAsia="Play" w:hAnsiTheme="majorHAnsi" w:cs="Play"/>
        </w:rPr>
      </w:pPr>
      <w:bookmarkStart w:id="12" w:name="bookmark=id.yhxgylxoiw4m" w:colFirst="0" w:colLast="0"/>
      <w:bookmarkEnd w:id="12"/>
      <w:r w:rsidRPr="00911BD5">
        <w:rPr>
          <w:rFonts w:asciiTheme="majorHAnsi" w:eastAsia="Play" w:hAnsiTheme="majorHAnsi" w:cs="Play"/>
          <w:b/>
          <w:bCs/>
          <w:sz w:val="33"/>
          <w:szCs w:val="33"/>
        </w:rPr>
        <w:t>4.1 What Worked Best (Top 3)</w:t>
      </w:r>
    </w:p>
    <w:p w14:paraId="2440297D" w14:textId="62AC66A4" w:rsidR="00193E5A" w:rsidRPr="00911BD5" w:rsidRDefault="00193E5A" w:rsidP="00193E5A">
      <w:pPr>
        <w:pStyle w:val="Paragrafoelenco"/>
        <w:numPr>
          <w:ilvl w:val="0"/>
          <w:numId w:val="10"/>
        </w:numPr>
        <w:spacing w:before="240" w:line="271" w:lineRule="auto"/>
        <w:rPr>
          <w:rFonts w:asciiTheme="majorHAnsi" w:eastAsia="Play" w:hAnsiTheme="majorHAnsi" w:cs="Play"/>
        </w:rPr>
      </w:pPr>
      <w:r w:rsidRPr="00911BD5">
        <w:rPr>
          <w:rFonts w:asciiTheme="majorHAnsi" w:eastAsia="Play" w:hAnsiTheme="majorHAnsi" w:cs="Play"/>
        </w:rPr>
        <w:t xml:space="preserve">Schools as Refurbishment Hubs: </w:t>
      </w:r>
      <w:r w:rsidR="002C3D4D" w:rsidRPr="00911BD5">
        <w:rPr>
          <w:rFonts w:asciiTheme="majorHAnsi" w:eastAsia="Play" w:hAnsiTheme="majorHAnsi" w:cs="Play"/>
        </w:rPr>
        <w:t>Using technical and vocational institutes to assess and repair decommissioned equipment combines hands-on vocational training with social value</w:t>
      </w:r>
    </w:p>
    <w:p w14:paraId="0C664A1A" w14:textId="550664E1" w:rsidR="002C3D4D" w:rsidRPr="00911BD5" w:rsidRDefault="002C3D4D" w:rsidP="002C3D4D">
      <w:pPr>
        <w:pStyle w:val="Paragrafoelenco"/>
        <w:numPr>
          <w:ilvl w:val="0"/>
          <w:numId w:val="13"/>
        </w:numPr>
        <w:spacing w:before="240" w:line="271" w:lineRule="auto"/>
        <w:rPr>
          <w:rFonts w:asciiTheme="majorHAnsi" w:eastAsia="Play" w:hAnsiTheme="majorHAnsi" w:cs="Play"/>
        </w:rPr>
      </w:pPr>
      <w:r w:rsidRPr="00911BD5">
        <w:rPr>
          <w:rFonts w:asciiTheme="majorHAnsi" w:eastAsia="Play" w:hAnsiTheme="majorHAnsi" w:cs="Play"/>
        </w:rPr>
        <w:lastRenderedPageBreak/>
        <w:t>Evidence: Technical institutes such as Montani (Fermo) and Volterra Elia (Ancona) successfully integrated hardware diagnostics and SSD upgrades into their curriculum, targeting a reuse rate of 25–60% for institutional PCs.</w:t>
      </w:r>
    </w:p>
    <w:p w14:paraId="79E51683" w14:textId="0B306177" w:rsidR="002C3D4D" w:rsidRPr="00911BD5" w:rsidRDefault="002C3D4D" w:rsidP="002C3D4D">
      <w:pPr>
        <w:pStyle w:val="Paragrafoelenco"/>
        <w:numPr>
          <w:ilvl w:val="0"/>
          <w:numId w:val="13"/>
        </w:numPr>
        <w:spacing w:before="240" w:line="271" w:lineRule="auto"/>
        <w:rPr>
          <w:rFonts w:asciiTheme="majorHAnsi" w:eastAsia="Play" w:hAnsiTheme="majorHAnsi" w:cs="Play"/>
        </w:rPr>
      </w:pPr>
      <w:r w:rsidRPr="00911BD5">
        <w:rPr>
          <w:rFonts w:asciiTheme="majorHAnsi" w:eastAsia="Play" w:hAnsiTheme="majorHAnsi" w:cs="Play"/>
        </w:rPr>
        <w:t>For transfer: Future adopters should identify schools with IT/electronics specialisations and sign formal agreements to use their laboratories as "local refurbishment hubs"</w:t>
      </w:r>
    </w:p>
    <w:p w14:paraId="4C846678" w14:textId="171C6298" w:rsidR="00193E5A" w:rsidRPr="00911BD5" w:rsidRDefault="00193E5A" w:rsidP="00193E5A">
      <w:pPr>
        <w:pStyle w:val="Paragrafoelenco"/>
        <w:numPr>
          <w:ilvl w:val="0"/>
          <w:numId w:val="10"/>
        </w:numPr>
        <w:spacing w:before="240" w:line="271" w:lineRule="auto"/>
        <w:rPr>
          <w:rFonts w:asciiTheme="majorHAnsi" w:eastAsia="Play" w:hAnsiTheme="majorHAnsi" w:cs="Play"/>
        </w:rPr>
      </w:pPr>
      <w:r w:rsidRPr="00911BD5">
        <w:rPr>
          <w:rFonts w:asciiTheme="majorHAnsi" w:eastAsia="Play" w:hAnsiTheme="majorHAnsi" w:cs="Play"/>
        </w:rPr>
        <w:t xml:space="preserve">Selective Census/Interception: </w:t>
      </w:r>
      <w:r w:rsidR="002C3D4D" w:rsidRPr="00911BD5">
        <w:rPr>
          <w:rFonts w:asciiTheme="majorHAnsi" w:eastAsia="Play" w:hAnsiTheme="majorHAnsi" w:cs="Play"/>
        </w:rPr>
        <w:t xml:space="preserve">Identifying reusable devices at the "Dual Use" stage, after they are decommissioned but </w:t>
      </w:r>
      <w:r w:rsidR="002C3D4D" w:rsidRPr="00911BD5">
        <w:rPr>
          <w:rFonts w:asciiTheme="majorHAnsi" w:eastAsia="Play" w:hAnsiTheme="majorHAnsi" w:cs="Play"/>
          <w:i/>
          <w:iCs/>
        </w:rPr>
        <w:t>before</w:t>
      </w:r>
      <w:r w:rsidR="002C3D4D" w:rsidRPr="00911BD5">
        <w:rPr>
          <w:rFonts w:asciiTheme="majorHAnsi" w:eastAsia="Play" w:hAnsiTheme="majorHAnsi" w:cs="Play"/>
        </w:rPr>
        <w:t xml:space="preserve"> they are formally classified as waste, maximises their "second life" potential.</w:t>
      </w:r>
    </w:p>
    <w:p w14:paraId="08CCE109" w14:textId="28D6F0F3" w:rsidR="002C3D4D" w:rsidRPr="00911BD5" w:rsidRDefault="002C3D4D" w:rsidP="002C3D4D">
      <w:pPr>
        <w:pStyle w:val="Paragrafoelenco"/>
        <w:numPr>
          <w:ilvl w:val="0"/>
          <w:numId w:val="14"/>
        </w:numPr>
        <w:spacing w:before="240" w:line="271" w:lineRule="auto"/>
        <w:rPr>
          <w:rFonts w:asciiTheme="majorHAnsi" w:eastAsia="Play" w:hAnsiTheme="majorHAnsi" w:cs="Play"/>
        </w:rPr>
      </w:pPr>
      <w:r w:rsidRPr="00911BD5">
        <w:rPr>
          <w:rFonts w:asciiTheme="majorHAnsi" w:eastAsia="Play" w:hAnsiTheme="majorHAnsi" w:cs="Play"/>
        </w:rPr>
        <w:t>Evidence: The pilot identified an annual flow of 200–300 decommissioned units in the Marche Region. By applying a technical checklist during the initial inventory, they ensured only viable units entered the refurbishment chain.</w:t>
      </w:r>
    </w:p>
    <w:p w14:paraId="186F5DB3" w14:textId="1B95A780" w:rsidR="002C3D4D" w:rsidRPr="00911BD5" w:rsidRDefault="002C3D4D" w:rsidP="002C3D4D">
      <w:pPr>
        <w:pStyle w:val="Paragrafoelenco"/>
        <w:numPr>
          <w:ilvl w:val="0"/>
          <w:numId w:val="14"/>
        </w:numPr>
        <w:spacing w:before="240" w:line="271" w:lineRule="auto"/>
        <w:rPr>
          <w:rFonts w:asciiTheme="majorHAnsi" w:eastAsia="Play" w:hAnsiTheme="majorHAnsi" w:cs="Play"/>
        </w:rPr>
      </w:pPr>
      <w:r w:rsidRPr="00911BD5">
        <w:rPr>
          <w:rFonts w:asciiTheme="majorHAnsi" w:eastAsia="Play" w:hAnsiTheme="majorHAnsi" w:cs="Play"/>
        </w:rPr>
        <w:t>For transfer: Implement visual analysis and standardized technical checklists at the public procurement (Economato) level to filter equipment before it reaches waste collection points.</w:t>
      </w:r>
    </w:p>
    <w:p w14:paraId="0E5BDD11" w14:textId="4C8DB048" w:rsidR="00193E5A" w:rsidRPr="00911BD5" w:rsidRDefault="00193E5A" w:rsidP="00193E5A">
      <w:pPr>
        <w:pStyle w:val="Paragrafoelenco"/>
        <w:numPr>
          <w:ilvl w:val="0"/>
          <w:numId w:val="10"/>
        </w:numPr>
        <w:spacing w:before="240" w:line="271" w:lineRule="auto"/>
        <w:rPr>
          <w:rFonts w:asciiTheme="majorHAnsi" w:eastAsia="Play" w:hAnsiTheme="majorHAnsi" w:cs="Play"/>
        </w:rPr>
      </w:pPr>
      <w:r w:rsidRPr="00911BD5">
        <w:rPr>
          <w:rFonts w:asciiTheme="majorHAnsi" w:eastAsia="Play" w:hAnsiTheme="majorHAnsi" w:cs="Play"/>
        </w:rPr>
        <w:t xml:space="preserve">Multi-Actor Governance: </w:t>
      </w:r>
      <w:r w:rsidR="002C3D4D" w:rsidRPr="00911BD5">
        <w:rPr>
          <w:rFonts w:asciiTheme="majorHAnsi" w:eastAsia="Play" w:hAnsiTheme="majorHAnsi" w:cs="Play"/>
        </w:rPr>
        <w:t>Establishing a structured network involving public authorities, municipalities, NGOs, and professional repairers ensures the solution is grounded in local needs.</w:t>
      </w:r>
    </w:p>
    <w:p w14:paraId="7C38A326" w14:textId="1560613A" w:rsidR="002C3D4D" w:rsidRPr="00911BD5" w:rsidRDefault="002C3D4D" w:rsidP="002C3D4D">
      <w:pPr>
        <w:pStyle w:val="Paragrafoelenco"/>
        <w:numPr>
          <w:ilvl w:val="0"/>
          <w:numId w:val="15"/>
        </w:numPr>
        <w:spacing w:before="240" w:line="271" w:lineRule="auto"/>
        <w:rPr>
          <w:rFonts w:asciiTheme="majorHAnsi" w:eastAsia="Play" w:hAnsiTheme="majorHAnsi" w:cs="Play"/>
        </w:rPr>
      </w:pPr>
      <w:r w:rsidRPr="00911BD5">
        <w:rPr>
          <w:rFonts w:asciiTheme="majorHAnsi" w:eastAsia="Play" w:hAnsiTheme="majorHAnsi" w:cs="Play"/>
        </w:rPr>
        <w:t>Evidence: The UBBSLA (Bulgaria) engaged 15 municipalities and 20 partner organisations to test the EESwap platform, while Italy formalised a directory of 20 local professional repairers to support reuse centres.</w:t>
      </w:r>
    </w:p>
    <w:p w14:paraId="6E6A0522" w14:textId="431FA755" w:rsidR="002C3D4D" w:rsidRPr="00911BD5" w:rsidRDefault="002C3D4D" w:rsidP="002C3D4D">
      <w:pPr>
        <w:pStyle w:val="Paragrafoelenco"/>
        <w:numPr>
          <w:ilvl w:val="0"/>
          <w:numId w:val="15"/>
        </w:numPr>
        <w:spacing w:before="240" w:line="271" w:lineRule="auto"/>
        <w:rPr>
          <w:rFonts w:asciiTheme="majorHAnsi" w:eastAsia="Play" w:hAnsiTheme="majorHAnsi" w:cs="Play"/>
        </w:rPr>
      </w:pPr>
      <w:r w:rsidRPr="00911BD5">
        <w:rPr>
          <w:rFonts w:asciiTheme="majorHAnsi" w:eastAsia="Play" w:hAnsiTheme="majorHAnsi" w:cs="Play"/>
        </w:rPr>
        <w:t>For transfer: Designate a central regional body (e.g., Regional Authority or Municipal Association) to serve as a coordinator to bridge the gap between asset providers (public offices) and end-users.</w:t>
      </w:r>
    </w:p>
    <w:p w14:paraId="61E46330" w14:textId="167C2E49" w:rsidR="00193E5A" w:rsidRPr="00911BD5" w:rsidRDefault="002C3D4D" w:rsidP="00193E5A">
      <w:pPr>
        <w:pStyle w:val="Paragrafoelenco"/>
        <w:numPr>
          <w:ilvl w:val="1"/>
          <w:numId w:val="11"/>
        </w:numPr>
        <w:spacing w:before="240" w:line="271" w:lineRule="auto"/>
        <w:rPr>
          <w:rFonts w:asciiTheme="majorHAnsi" w:eastAsia="Play" w:hAnsiTheme="majorHAnsi" w:cs="Play"/>
        </w:rPr>
      </w:pPr>
      <w:r w:rsidRPr="00911BD5">
        <w:rPr>
          <w:rFonts w:asciiTheme="majorHAnsi" w:eastAsia="Play" w:hAnsiTheme="majorHAnsi" w:cs="Play"/>
          <w:b/>
          <w:bCs/>
          <w:sz w:val="33"/>
          <w:szCs w:val="33"/>
        </w:rPr>
        <w:t xml:space="preserve"> Critical Mistakes Avoided (Top 3)</w:t>
      </w:r>
    </w:p>
    <w:p w14:paraId="1847CEB1" w14:textId="4ED1E53F" w:rsidR="00193E5A" w:rsidRPr="00911BD5" w:rsidRDefault="00193E5A" w:rsidP="00193E5A">
      <w:pPr>
        <w:pStyle w:val="Paragrafoelenco"/>
        <w:numPr>
          <w:ilvl w:val="0"/>
          <w:numId w:val="12"/>
        </w:numPr>
        <w:rPr>
          <w:rFonts w:asciiTheme="majorHAnsi" w:eastAsia="Play" w:hAnsiTheme="majorHAnsi" w:cs="Play"/>
        </w:rPr>
      </w:pPr>
      <w:r w:rsidRPr="00911BD5">
        <w:rPr>
          <w:rFonts w:asciiTheme="majorHAnsi" w:eastAsia="Play" w:hAnsiTheme="majorHAnsi" w:cs="Play"/>
        </w:rPr>
        <w:t>Rigid Adherence to Eco-Renting</w:t>
      </w:r>
      <w:r w:rsidR="002C3D4D" w:rsidRPr="00911BD5">
        <w:rPr>
          <w:rFonts w:asciiTheme="majorHAnsi" w:eastAsia="Play" w:hAnsiTheme="majorHAnsi" w:cs="Play"/>
        </w:rPr>
        <w:t>.</w:t>
      </w:r>
    </w:p>
    <w:p w14:paraId="21ADA5FD" w14:textId="77777777" w:rsidR="002C3D4D" w:rsidRPr="00911BD5" w:rsidRDefault="002C3D4D" w:rsidP="002C3D4D">
      <w:pPr>
        <w:pStyle w:val="Paragrafoelenco"/>
        <w:numPr>
          <w:ilvl w:val="0"/>
          <w:numId w:val="16"/>
        </w:numPr>
        <w:rPr>
          <w:rFonts w:asciiTheme="majorHAnsi" w:eastAsia="Play" w:hAnsiTheme="majorHAnsi" w:cs="Play"/>
        </w:rPr>
      </w:pPr>
      <w:r w:rsidRPr="00911BD5">
        <w:rPr>
          <w:rFonts w:asciiTheme="majorHAnsi" w:eastAsia="Play" w:hAnsiTheme="majorHAnsi" w:cs="Play"/>
        </w:rPr>
        <w:t>Mistake avoided: Proceeding with the original eco-renting/leasing concept despite legal barriers.</w:t>
      </w:r>
    </w:p>
    <w:p w14:paraId="1DC5A47E" w14:textId="77777777" w:rsidR="002C3D4D" w:rsidRPr="00911BD5" w:rsidRDefault="002C3D4D" w:rsidP="002C3D4D">
      <w:pPr>
        <w:pStyle w:val="Paragrafoelenco"/>
        <w:numPr>
          <w:ilvl w:val="0"/>
          <w:numId w:val="16"/>
        </w:numPr>
        <w:rPr>
          <w:rFonts w:asciiTheme="majorHAnsi" w:eastAsia="Play" w:hAnsiTheme="majorHAnsi" w:cs="Play"/>
        </w:rPr>
      </w:pPr>
      <w:r w:rsidRPr="00911BD5">
        <w:rPr>
          <w:rFonts w:asciiTheme="majorHAnsi" w:eastAsia="Play" w:hAnsiTheme="majorHAnsi" w:cs="Play"/>
        </w:rPr>
        <w:t>Reason: Legal assessments showed that the Bulgarian Public Procurement Act and rigid Italian accounting systems (CAPEX vs. OPEX) made eco-renting unfeasible within the project timeframe.</w:t>
      </w:r>
    </w:p>
    <w:p w14:paraId="4244377C" w14:textId="77777777" w:rsidR="002C3D4D" w:rsidRPr="00911BD5" w:rsidRDefault="002C3D4D" w:rsidP="002C3D4D">
      <w:pPr>
        <w:pStyle w:val="Paragrafoelenco"/>
        <w:numPr>
          <w:ilvl w:val="0"/>
          <w:numId w:val="16"/>
        </w:numPr>
        <w:rPr>
          <w:rFonts w:asciiTheme="majorHAnsi" w:eastAsia="Play" w:hAnsiTheme="majorHAnsi" w:cs="Play"/>
        </w:rPr>
      </w:pPr>
      <w:r w:rsidRPr="00911BD5">
        <w:rPr>
          <w:rFonts w:asciiTheme="majorHAnsi" w:eastAsia="Play" w:hAnsiTheme="majorHAnsi" w:cs="Play"/>
        </w:rPr>
        <w:t>Outcome: The pilots pivoted to circular ownership models (Italy) and a digital exchange platform (Bulgaria), which achieved circularity goals while remaining 100% legally compliant.</w:t>
      </w:r>
    </w:p>
    <w:p w14:paraId="4E117559" w14:textId="4A64FBDB" w:rsidR="002C3D4D" w:rsidRPr="00911BD5" w:rsidRDefault="002C3D4D" w:rsidP="002C3D4D">
      <w:pPr>
        <w:pStyle w:val="Paragrafoelenco"/>
        <w:numPr>
          <w:ilvl w:val="0"/>
          <w:numId w:val="16"/>
        </w:numPr>
        <w:rPr>
          <w:rFonts w:asciiTheme="majorHAnsi" w:eastAsia="Play" w:hAnsiTheme="majorHAnsi" w:cs="Play"/>
        </w:rPr>
      </w:pPr>
      <w:r w:rsidRPr="00911BD5">
        <w:rPr>
          <w:rFonts w:asciiTheme="majorHAnsi" w:eastAsia="Play" w:hAnsiTheme="majorHAnsi" w:cs="Play"/>
        </w:rPr>
        <w:t>Evidence: WP2 Report Section 2.4 confirms that adapting the model to local regulatory frameworks ensured the pilot's success.</w:t>
      </w:r>
    </w:p>
    <w:p w14:paraId="74ED624F" w14:textId="77777777" w:rsidR="002C3D4D" w:rsidRPr="00911BD5" w:rsidRDefault="002C3D4D" w:rsidP="002C3D4D">
      <w:pPr>
        <w:pStyle w:val="Paragrafoelenco"/>
        <w:ind w:left="936"/>
        <w:rPr>
          <w:rFonts w:asciiTheme="majorHAnsi" w:eastAsia="Play" w:hAnsiTheme="majorHAnsi" w:cs="Play"/>
        </w:rPr>
      </w:pPr>
    </w:p>
    <w:p w14:paraId="15D12103" w14:textId="3BA82D40" w:rsidR="00193E5A" w:rsidRPr="00911BD5" w:rsidRDefault="00193E5A" w:rsidP="00193E5A">
      <w:pPr>
        <w:pStyle w:val="Paragrafoelenco"/>
        <w:numPr>
          <w:ilvl w:val="0"/>
          <w:numId w:val="12"/>
        </w:numPr>
        <w:rPr>
          <w:rFonts w:asciiTheme="majorHAnsi" w:eastAsia="Play" w:hAnsiTheme="majorHAnsi" w:cs="Play"/>
        </w:rPr>
      </w:pPr>
      <w:r w:rsidRPr="00911BD5">
        <w:rPr>
          <w:rFonts w:asciiTheme="majorHAnsi" w:eastAsia="Play" w:hAnsiTheme="majorHAnsi" w:cs="Play"/>
        </w:rPr>
        <w:t>Neglecting Data Security</w:t>
      </w:r>
      <w:r w:rsidR="002C3D4D" w:rsidRPr="00911BD5">
        <w:rPr>
          <w:rFonts w:asciiTheme="majorHAnsi" w:eastAsia="Play" w:hAnsiTheme="majorHAnsi" w:cs="Play"/>
        </w:rPr>
        <w:t>.</w:t>
      </w:r>
    </w:p>
    <w:p w14:paraId="36F7BC70" w14:textId="77777777" w:rsidR="002C3D4D" w:rsidRPr="00911BD5" w:rsidRDefault="002C3D4D" w:rsidP="002C3D4D">
      <w:pPr>
        <w:pStyle w:val="Paragrafoelenco"/>
        <w:numPr>
          <w:ilvl w:val="0"/>
          <w:numId w:val="17"/>
        </w:numPr>
        <w:rPr>
          <w:rFonts w:asciiTheme="majorHAnsi" w:eastAsia="Play" w:hAnsiTheme="majorHAnsi" w:cs="Play"/>
        </w:rPr>
      </w:pPr>
      <w:r w:rsidRPr="00911BD5">
        <w:rPr>
          <w:rFonts w:asciiTheme="majorHAnsi" w:eastAsia="Play" w:hAnsiTheme="majorHAnsi" w:cs="Play"/>
        </w:rPr>
        <w:t>Mistake avoided: Transferring institutional hardware without a standardised, secure data destruction protocol.</w:t>
      </w:r>
    </w:p>
    <w:p w14:paraId="5904D6D9" w14:textId="77777777" w:rsidR="002C3D4D" w:rsidRPr="00911BD5" w:rsidRDefault="002C3D4D" w:rsidP="002C3D4D">
      <w:pPr>
        <w:pStyle w:val="Paragrafoelenco"/>
        <w:numPr>
          <w:ilvl w:val="0"/>
          <w:numId w:val="17"/>
        </w:numPr>
        <w:rPr>
          <w:rFonts w:asciiTheme="majorHAnsi" w:eastAsia="Play" w:hAnsiTheme="majorHAnsi" w:cs="Play"/>
        </w:rPr>
      </w:pPr>
      <w:r w:rsidRPr="00911BD5">
        <w:rPr>
          <w:rFonts w:asciiTheme="majorHAnsi" w:eastAsia="Play" w:hAnsiTheme="majorHAnsi" w:cs="Play"/>
        </w:rPr>
        <w:t>Reason: Institutional resistance to reuse often stems from fears regarding privacy and data leaks.</w:t>
      </w:r>
    </w:p>
    <w:p w14:paraId="29B32B95" w14:textId="77777777" w:rsidR="002C3D4D" w:rsidRPr="00911BD5" w:rsidRDefault="002C3D4D" w:rsidP="002C3D4D">
      <w:pPr>
        <w:pStyle w:val="Paragrafoelenco"/>
        <w:numPr>
          <w:ilvl w:val="0"/>
          <w:numId w:val="17"/>
        </w:numPr>
        <w:rPr>
          <w:rFonts w:asciiTheme="majorHAnsi" w:eastAsia="Play" w:hAnsiTheme="majorHAnsi" w:cs="Play"/>
        </w:rPr>
      </w:pPr>
      <w:r w:rsidRPr="00911BD5">
        <w:rPr>
          <w:rFonts w:asciiTheme="majorHAnsi" w:eastAsia="Play" w:hAnsiTheme="majorHAnsi" w:cs="Play"/>
        </w:rPr>
        <w:t>Outcome: The project established a certified data wiping and hardware destruction process (costing €10/unit) to ensure all assets were safe for redistribution.</w:t>
      </w:r>
    </w:p>
    <w:p w14:paraId="599BCA6B" w14:textId="757FFEF5" w:rsidR="002C3D4D" w:rsidRPr="00911BD5" w:rsidRDefault="002C3D4D" w:rsidP="002C3D4D">
      <w:pPr>
        <w:pStyle w:val="Paragrafoelenco"/>
        <w:numPr>
          <w:ilvl w:val="0"/>
          <w:numId w:val="17"/>
        </w:numPr>
        <w:rPr>
          <w:rFonts w:asciiTheme="majorHAnsi" w:eastAsia="Play" w:hAnsiTheme="majorHAnsi" w:cs="Play"/>
        </w:rPr>
      </w:pPr>
      <w:r w:rsidRPr="00911BD5">
        <w:rPr>
          <w:rFonts w:asciiTheme="majorHAnsi" w:eastAsia="Play" w:hAnsiTheme="majorHAnsi" w:cs="Play"/>
        </w:rPr>
        <w:t>Evidence: Standardised data protection procedures were identified as a mandatory condition for replication in Section 5.3 of the Italian report.</w:t>
      </w:r>
    </w:p>
    <w:p w14:paraId="5B4FD9DF" w14:textId="10E78E66" w:rsidR="002C3D4D" w:rsidRPr="00911BD5" w:rsidRDefault="002C3D4D" w:rsidP="00193E5A">
      <w:pPr>
        <w:pStyle w:val="Paragrafoelenco"/>
        <w:numPr>
          <w:ilvl w:val="0"/>
          <w:numId w:val="12"/>
        </w:numPr>
        <w:rPr>
          <w:rFonts w:asciiTheme="majorHAnsi" w:eastAsia="Play" w:hAnsiTheme="majorHAnsi" w:cs="Play"/>
        </w:rPr>
      </w:pPr>
      <w:r w:rsidRPr="00911BD5">
        <w:rPr>
          <w:rFonts w:asciiTheme="majorHAnsi" w:eastAsia="Play" w:hAnsiTheme="majorHAnsi" w:cs="Play"/>
        </w:rPr>
        <w:lastRenderedPageBreak/>
        <w:t>Mass Collection without Technical Filtering</w:t>
      </w:r>
    </w:p>
    <w:p w14:paraId="7A63B9E3" w14:textId="77777777" w:rsidR="002C3D4D" w:rsidRPr="00911BD5" w:rsidRDefault="002C3D4D" w:rsidP="002C3D4D">
      <w:pPr>
        <w:pStyle w:val="Paragrafoelenco"/>
        <w:numPr>
          <w:ilvl w:val="0"/>
          <w:numId w:val="18"/>
        </w:numPr>
        <w:rPr>
          <w:rFonts w:asciiTheme="majorHAnsi" w:eastAsia="Play" w:hAnsiTheme="majorHAnsi" w:cs="Play"/>
        </w:rPr>
      </w:pPr>
      <w:r w:rsidRPr="00911BD5">
        <w:rPr>
          <w:rFonts w:asciiTheme="majorHAnsi" w:eastAsia="Play" w:hAnsiTheme="majorHAnsi" w:cs="Play"/>
        </w:rPr>
        <w:t>Mistake avoided: Bulk collection of all old IT equipment regardless of condition.</w:t>
      </w:r>
    </w:p>
    <w:p w14:paraId="5EDF2523" w14:textId="77777777" w:rsidR="002C3D4D" w:rsidRPr="00911BD5" w:rsidRDefault="002C3D4D" w:rsidP="002C3D4D">
      <w:pPr>
        <w:pStyle w:val="Paragrafoelenco"/>
        <w:numPr>
          <w:ilvl w:val="0"/>
          <w:numId w:val="18"/>
        </w:numPr>
        <w:rPr>
          <w:rFonts w:asciiTheme="majorHAnsi" w:eastAsia="Play" w:hAnsiTheme="majorHAnsi" w:cs="Play"/>
        </w:rPr>
      </w:pPr>
      <w:r w:rsidRPr="00911BD5">
        <w:rPr>
          <w:rFonts w:asciiTheme="majorHAnsi" w:eastAsia="Play" w:hAnsiTheme="majorHAnsi" w:cs="Play"/>
        </w:rPr>
        <w:t>Reason: Collecting obsolete or damaged "junk" hardware increases logistics costs and reduces the efficiency of refurbishment hubs.</w:t>
      </w:r>
    </w:p>
    <w:p w14:paraId="31A08A4E" w14:textId="77777777" w:rsidR="002C3D4D" w:rsidRPr="00911BD5" w:rsidRDefault="002C3D4D" w:rsidP="002C3D4D">
      <w:pPr>
        <w:pStyle w:val="Paragrafoelenco"/>
        <w:numPr>
          <w:ilvl w:val="0"/>
          <w:numId w:val="18"/>
        </w:numPr>
        <w:rPr>
          <w:rFonts w:asciiTheme="majorHAnsi" w:eastAsia="Play" w:hAnsiTheme="majorHAnsi" w:cs="Play"/>
        </w:rPr>
      </w:pPr>
      <w:r w:rsidRPr="00911BD5">
        <w:rPr>
          <w:rFonts w:asciiTheme="majorHAnsi" w:eastAsia="Play" w:hAnsiTheme="majorHAnsi" w:cs="Play"/>
        </w:rPr>
        <w:t>Outcome: By focusing only on institutional devices aged 5–7 years and using pre-selection criteria, the pilot maintained an average refurbishment cost of €140 per unit.</w:t>
      </w:r>
    </w:p>
    <w:p w14:paraId="49972336" w14:textId="2465EE9F" w:rsidR="002C3D4D" w:rsidRPr="00911BD5" w:rsidRDefault="002C3D4D" w:rsidP="002C3D4D">
      <w:pPr>
        <w:pStyle w:val="Paragrafoelenco"/>
        <w:numPr>
          <w:ilvl w:val="0"/>
          <w:numId w:val="18"/>
        </w:numPr>
        <w:rPr>
          <w:rFonts w:asciiTheme="majorHAnsi" w:eastAsia="Play" w:hAnsiTheme="majorHAnsi" w:cs="Play"/>
        </w:rPr>
      </w:pPr>
      <w:r w:rsidRPr="00911BD5">
        <w:rPr>
          <w:rFonts w:asciiTheme="majorHAnsi" w:eastAsia="Play" w:hAnsiTheme="majorHAnsi" w:cs="Play"/>
        </w:rPr>
        <w:t>Evidence: WP2 Pilot Methodology (Italy) highlights that "Selective Census" is a best practice to avoid environmental and economic liabilities.</w:t>
      </w:r>
    </w:p>
    <w:p w14:paraId="6BE7091F" w14:textId="74810621" w:rsidR="000B36E1" w:rsidRPr="00911BD5" w:rsidRDefault="007C558F" w:rsidP="00193E5A">
      <w:pPr>
        <w:spacing w:before="240" w:line="271" w:lineRule="auto"/>
        <w:rPr>
          <w:rFonts w:asciiTheme="majorHAnsi" w:eastAsia="Play" w:hAnsiTheme="majorHAnsi" w:cs="Play"/>
        </w:rPr>
      </w:pPr>
      <w:r>
        <w:rPr>
          <w:rFonts w:asciiTheme="majorHAnsi" w:hAnsiTheme="majorHAnsi"/>
          <w:noProof/>
        </w:rPr>
        <w:pict w14:anchorId="0A3550AF">
          <v:rect id="_x0000_i1031" alt="" style="width:353.25pt;height:.05pt;mso-width-percent:0;mso-height-percent:0;mso-width-percent:0;mso-height-percent:0" o:hrpct="733" o:hralign="center" o:hrstd="t" o:hr="t" fillcolor="#a0a0a0" stroked="f"/>
        </w:pict>
      </w:r>
    </w:p>
    <w:p w14:paraId="1955E346" w14:textId="77777777" w:rsidR="000B36E1" w:rsidRPr="00911BD5" w:rsidRDefault="00000000">
      <w:pPr>
        <w:spacing w:before="240" w:line="271" w:lineRule="auto"/>
        <w:rPr>
          <w:rFonts w:asciiTheme="majorHAnsi" w:eastAsia="Play" w:hAnsiTheme="majorHAnsi" w:cs="Play"/>
        </w:rPr>
      </w:pPr>
      <w:bookmarkStart w:id="13" w:name="bookmark=id.mqeq5jydpgtn" w:colFirst="0" w:colLast="0"/>
      <w:bookmarkEnd w:id="13"/>
      <w:r w:rsidRPr="00911BD5">
        <w:rPr>
          <w:rFonts w:asciiTheme="majorHAnsi" w:eastAsia="Play" w:hAnsiTheme="majorHAnsi" w:cs="Play"/>
          <w:b/>
          <w:bCs/>
          <w:sz w:val="42"/>
          <w:szCs w:val="42"/>
        </w:rPr>
        <w:t>SECTION 5: TRANSFERABILITY ASSESSMENT</w:t>
      </w:r>
    </w:p>
    <w:p w14:paraId="0EFCB565" w14:textId="77777777" w:rsidR="000B36E1" w:rsidRPr="00911BD5" w:rsidRDefault="00000000">
      <w:pPr>
        <w:spacing w:before="240" w:line="271" w:lineRule="auto"/>
        <w:rPr>
          <w:rFonts w:asciiTheme="majorHAnsi" w:eastAsia="Play" w:hAnsiTheme="majorHAnsi" w:cs="Play"/>
        </w:rPr>
      </w:pPr>
      <w:bookmarkStart w:id="14" w:name="bookmark=id.g75rjn8n9wxn" w:colFirst="0" w:colLast="0"/>
      <w:bookmarkEnd w:id="14"/>
      <w:r w:rsidRPr="00911BD5">
        <w:rPr>
          <w:rFonts w:asciiTheme="majorHAnsi" w:eastAsia="Play" w:hAnsiTheme="majorHAnsi" w:cs="Play"/>
          <w:b/>
          <w:bCs/>
          <w:sz w:val="33"/>
          <w:szCs w:val="33"/>
        </w:rPr>
        <w:t>5.1 Ideal Target Profile (check all that apply)</w:t>
      </w:r>
    </w:p>
    <w:p w14:paraId="0FC7A9AD"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rPr>
        <w:t>Your solution works best in territories with:</w:t>
      </w:r>
    </w:p>
    <w:p w14:paraId="79C51E59" w14:textId="3B305466" w:rsidR="000B36E1" w:rsidRPr="00911BD5" w:rsidRDefault="00000000">
      <w:pPr>
        <w:numPr>
          <w:ilvl w:val="0"/>
          <w:numId w:val="9"/>
        </w:numPr>
        <w:rPr>
          <w:rFonts w:asciiTheme="majorHAnsi" w:eastAsia="Play" w:hAnsiTheme="majorHAnsi" w:cs="Play"/>
        </w:rPr>
      </w:pPr>
      <w:sdt>
        <w:sdtPr>
          <w:rPr>
            <w:rFonts w:asciiTheme="majorHAnsi" w:hAnsiTheme="majorHAnsi"/>
          </w:rPr>
          <w:tag w:val="goog_rdk_5"/>
          <w:id w:val="455447217"/>
        </w:sdtPr>
        <w:sdtContent>
          <w:r w:rsidR="00193E5A"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w:t>
          </w:r>
        </w:sdtContent>
      </w:sdt>
      <w:r w:rsidRPr="00911BD5">
        <w:rPr>
          <w:rFonts w:asciiTheme="majorHAnsi" w:eastAsia="Play" w:hAnsiTheme="majorHAnsi" w:cs="Play"/>
          <w:b/>
          <w:bCs/>
        </w:rPr>
        <w:t>Urban context</w:t>
      </w:r>
      <w:r w:rsidRPr="00911BD5">
        <w:rPr>
          <w:rFonts w:asciiTheme="majorHAnsi" w:eastAsia="Play" w:hAnsiTheme="majorHAnsi" w:cs="Play"/>
        </w:rPr>
        <w:t xml:space="preserve"> </w:t>
      </w:r>
      <w:r w:rsidR="00193E5A" w:rsidRPr="00911BD5">
        <w:rPr>
          <w:rFonts w:asciiTheme="majorHAnsi" w:eastAsia="Play" w:hAnsiTheme="majorHAnsi" w:cs="Play"/>
        </w:rPr>
        <w:t>High concentration of public ICT assets</w:t>
      </w:r>
    </w:p>
    <w:p w14:paraId="1A2A27A2" w14:textId="1009FDAE" w:rsidR="000B36E1" w:rsidRPr="00911BD5" w:rsidRDefault="00000000">
      <w:pPr>
        <w:numPr>
          <w:ilvl w:val="0"/>
          <w:numId w:val="9"/>
        </w:numPr>
        <w:rPr>
          <w:rFonts w:asciiTheme="majorHAnsi" w:eastAsia="Play" w:hAnsiTheme="majorHAnsi" w:cs="Play"/>
        </w:rPr>
      </w:pPr>
      <w:sdt>
        <w:sdtPr>
          <w:rPr>
            <w:rFonts w:asciiTheme="majorHAnsi" w:hAnsiTheme="majorHAnsi"/>
          </w:rPr>
          <w:tag w:val="goog_rdk_6"/>
          <w:id w:val="2057977590"/>
        </w:sdtPr>
        <w:sdtContent>
          <w:r w:rsidR="00193E5A"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w:t>
          </w:r>
        </w:sdtContent>
      </w:sdt>
      <w:r w:rsidRPr="00911BD5">
        <w:rPr>
          <w:rFonts w:asciiTheme="majorHAnsi" w:eastAsia="Play" w:hAnsiTheme="majorHAnsi" w:cs="Play"/>
          <w:b/>
          <w:bCs/>
        </w:rPr>
        <w:t>Existing school infrastructure</w:t>
      </w:r>
      <w:r w:rsidRPr="00911BD5">
        <w:rPr>
          <w:rFonts w:asciiTheme="majorHAnsi" w:eastAsia="Play" w:hAnsiTheme="majorHAnsi" w:cs="Play"/>
        </w:rPr>
        <w:t xml:space="preserve"> </w:t>
      </w:r>
      <w:r w:rsidR="00193E5A" w:rsidRPr="00911BD5">
        <w:rPr>
          <w:rFonts w:asciiTheme="majorHAnsi" w:eastAsia="Play" w:hAnsiTheme="majorHAnsi" w:cs="Play"/>
        </w:rPr>
        <w:t>Presence of technical/IT institutes capable of acting as hubs</w:t>
      </w:r>
    </w:p>
    <w:p w14:paraId="5E3F2986" w14:textId="68B597AA" w:rsidR="000B36E1" w:rsidRPr="00911BD5" w:rsidRDefault="00000000">
      <w:pPr>
        <w:numPr>
          <w:ilvl w:val="0"/>
          <w:numId w:val="9"/>
        </w:numPr>
        <w:rPr>
          <w:rFonts w:asciiTheme="majorHAnsi" w:eastAsia="Play" w:hAnsiTheme="majorHAnsi" w:cs="Play"/>
        </w:rPr>
      </w:pPr>
      <w:sdt>
        <w:sdtPr>
          <w:rPr>
            <w:rFonts w:asciiTheme="majorHAnsi" w:hAnsiTheme="majorHAnsi"/>
          </w:rPr>
          <w:tag w:val="goog_rdk_7"/>
          <w:id w:val="1520108324"/>
        </w:sdtPr>
        <w:sdtContent>
          <w:r w:rsidR="00193E5A"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w:t>
          </w:r>
        </w:sdtContent>
      </w:sdt>
      <w:r w:rsidRPr="00911BD5">
        <w:rPr>
          <w:rFonts w:asciiTheme="majorHAnsi" w:eastAsia="Play" w:hAnsiTheme="majorHAnsi" w:cs="Play"/>
          <w:b/>
          <w:bCs/>
        </w:rPr>
        <w:t>Supportive regulations</w:t>
      </w:r>
      <w:r w:rsidRPr="00911BD5">
        <w:rPr>
          <w:rFonts w:asciiTheme="majorHAnsi" w:eastAsia="Play" w:hAnsiTheme="majorHAnsi" w:cs="Play"/>
        </w:rPr>
        <w:t xml:space="preserve"> </w:t>
      </w:r>
      <w:r w:rsidR="00193E5A" w:rsidRPr="00911BD5">
        <w:rPr>
          <w:rFonts w:asciiTheme="majorHAnsi" w:eastAsia="Play" w:hAnsiTheme="majorHAnsi" w:cs="Play"/>
        </w:rPr>
        <w:t>Alignment with national Minimum Environmental Criteria (CAM)</w:t>
      </w:r>
    </w:p>
    <w:p w14:paraId="19090BAA" w14:textId="77777777" w:rsidR="00193E5A" w:rsidRPr="00911BD5" w:rsidRDefault="00000000" w:rsidP="00193E5A">
      <w:pPr>
        <w:numPr>
          <w:ilvl w:val="0"/>
          <w:numId w:val="9"/>
        </w:numPr>
        <w:spacing w:after="210"/>
        <w:rPr>
          <w:rFonts w:asciiTheme="majorHAnsi" w:eastAsia="Play" w:hAnsiTheme="majorHAnsi" w:cs="Play"/>
        </w:rPr>
      </w:pPr>
      <w:sdt>
        <w:sdtPr>
          <w:rPr>
            <w:rFonts w:asciiTheme="majorHAnsi" w:hAnsiTheme="majorHAnsi"/>
          </w:rPr>
          <w:tag w:val="goog_rdk_8"/>
          <w:id w:val="753748936"/>
        </w:sdtPr>
        <w:sdtContent>
          <w:r w:rsidR="00193E5A"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w:t>
          </w:r>
        </w:sdtContent>
      </w:sdt>
      <w:r w:rsidRPr="00911BD5">
        <w:rPr>
          <w:rFonts w:asciiTheme="majorHAnsi" w:eastAsia="Play" w:hAnsiTheme="majorHAnsi" w:cs="Play"/>
          <w:b/>
          <w:bCs/>
        </w:rPr>
        <w:t>Stakeholder engagement capacity</w:t>
      </w:r>
      <w:r w:rsidRPr="00911BD5">
        <w:rPr>
          <w:rFonts w:asciiTheme="majorHAnsi" w:eastAsia="Play" w:hAnsiTheme="majorHAnsi" w:cs="Play"/>
        </w:rPr>
        <w:t xml:space="preserve"> </w:t>
      </w:r>
      <w:r w:rsidR="00193E5A" w:rsidRPr="00911BD5">
        <w:rPr>
          <w:rFonts w:asciiTheme="majorHAnsi" w:eastAsia="Play" w:hAnsiTheme="majorHAnsi" w:cs="Play"/>
        </w:rPr>
        <w:t>Regional authority willing to act as a central coordinator</w:t>
      </w:r>
    </w:p>
    <w:p w14:paraId="110B09B5" w14:textId="6590F965" w:rsidR="000B36E1" w:rsidRPr="00911BD5" w:rsidRDefault="00000000" w:rsidP="00882A93">
      <w:pPr>
        <w:spacing w:after="210"/>
        <w:rPr>
          <w:rFonts w:asciiTheme="majorHAnsi" w:eastAsia="Play" w:hAnsiTheme="majorHAnsi" w:cs="Play"/>
        </w:rPr>
      </w:pPr>
      <w:r w:rsidRPr="00911BD5">
        <w:rPr>
          <w:rFonts w:asciiTheme="majorHAnsi" w:eastAsia="Play" w:hAnsiTheme="majorHAnsi" w:cs="Play"/>
          <w:b/>
          <w:bCs/>
        </w:rPr>
        <w:t>Evidence from pilots:</w:t>
      </w:r>
      <w:r w:rsidRPr="00911BD5">
        <w:rPr>
          <w:rFonts w:asciiTheme="majorHAnsi" w:eastAsia="Play" w:hAnsiTheme="majorHAnsi" w:cs="Play"/>
        </w:rPr>
        <w:t xml:space="preserve"> </w:t>
      </w:r>
      <w:r w:rsidR="00882A93" w:rsidRPr="00911BD5">
        <w:rPr>
          <w:rFonts w:asciiTheme="majorHAnsi" w:eastAsia="Play" w:hAnsiTheme="majorHAnsi" w:cs="Play"/>
        </w:rPr>
        <w:t>The pilot results indicate that the solution is most effective in territories with strong regional leadership and established vocational school networks, as seen in Marche, where technical institutes successfully became operational refurbishment hubs. In contexts with restrictive procurement laws, such as Bulgaria, the solution’s success relied on high stakeholder engagement capacity to pivot from asset leasing to a digital exchange platform involving 15 municipalities.</w:t>
      </w:r>
    </w:p>
    <w:p w14:paraId="6F802198" w14:textId="693B0FEC"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Example:</w:t>
      </w:r>
      <w:r w:rsidRPr="00911BD5">
        <w:rPr>
          <w:rFonts w:asciiTheme="majorHAnsi" w:eastAsia="Play" w:hAnsiTheme="majorHAnsi" w:cs="Play"/>
        </w:rPr>
        <w:t xml:space="preserve"> </w:t>
      </w:r>
      <w:r w:rsidR="00882A93" w:rsidRPr="00911BD5">
        <w:rPr>
          <w:rFonts w:asciiTheme="majorHAnsi" w:eastAsia="Play" w:hAnsiTheme="majorHAnsi" w:cs="Play"/>
        </w:rPr>
        <w:t>Italy (90% match) achieved an annual screening flow of 250 ICT units by utilizing existing school laboratory infrastructure; Bulgaria (75% match, including rural areas) successfully engaged 20 partner organisations to facilitate digital reuse despite initial regulatory barriers to eco-renting.</w:t>
      </w:r>
    </w:p>
    <w:p w14:paraId="2195B0F1" w14:textId="77777777" w:rsidR="000B36E1" w:rsidRPr="00911BD5" w:rsidRDefault="00000000">
      <w:pPr>
        <w:spacing w:before="240" w:line="271" w:lineRule="auto"/>
        <w:rPr>
          <w:rFonts w:asciiTheme="majorHAnsi" w:eastAsia="Play" w:hAnsiTheme="majorHAnsi" w:cs="Play"/>
        </w:rPr>
      </w:pPr>
      <w:bookmarkStart w:id="15" w:name="bookmark=id.32z6y4tg6ygs" w:colFirst="0" w:colLast="0"/>
      <w:bookmarkEnd w:id="15"/>
      <w:r w:rsidRPr="00911BD5">
        <w:rPr>
          <w:rFonts w:asciiTheme="majorHAnsi" w:eastAsia="Play" w:hAnsiTheme="majorHAnsi" w:cs="Play"/>
          <w:b/>
          <w:bCs/>
          <w:sz w:val="33"/>
          <w:szCs w:val="33"/>
        </w:rPr>
        <w:t>5.2 Transfer Feasibility by Territory Type</w:t>
      </w:r>
    </w:p>
    <w:tbl>
      <w:tblPr>
        <w:tblStyle w:val="a0"/>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408"/>
        <w:gridCol w:w="1676"/>
        <w:gridCol w:w="1699"/>
        <w:gridCol w:w="2901"/>
      </w:tblGrid>
      <w:tr w:rsidR="000B36E1" w:rsidRPr="00911BD5" w14:paraId="5D71E08D" w14:textId="77777777">
        <w:trPr>
          <w:cantSplit/>
          <w:jc w:val="center"/>
        </w:trPr>
        <w:tc>
          <w:tcPr>
            <w:tcW w:w="2408" w:type="dxa"/>
            <w:tcBorders>
              <w:top w:val="single" w:sz="4" w:space="0" w:color="000000"/>
              <w:bottom w:val="single" w:sz="4" w:space="0" w:color="000000"/>
            </w:tcBorders>
          </w:tcPr>
          <w:p w14:paraId="06B1D69C" w14:textId="77777777" w:rsidR="000B36E1" w:rsidRPr="00911BD5" w:rsidRDefault="00000000">
            <w:pPr>
              <w:rPr>
                <w:rFonts w:asciiTheme="majorHAnsi" w:eastAsia="Play" w:hAnsiTheme="majorHAnsi" w:cs="Play"/>
              </w:rPr>
            </w:pPr>
            <w:r w:rsidRPr="00911BD5">
              <w:rPr>
                <w:rFonts w:asciiTheme="majorHAnsi" w:eastAsia="Play" w:hAnsiTheme="majorHAnsi" w:cs="Play"/>
              </w:rPr>
              <w:t>Territory Type</w:t>
            </w:r>
          </w:p>
        </w:tc>
        <w:tc>
          <w:tcPr>
            <w:tcW w:w="1676" w:type="dxa"/>
            <w:tcBorders>
              <w:top w:val="single" w:sz="4" w:space="0" w:color="000000"/>
              <w:left w:val="single" w:sz="4" w:space="0" w:color="000000"/>
              <w:bottom w:val="single" w:sz="4" w:space="0" w:color="000000"/>
            </w:tcBorders>
          </w:tcPr>
          <w:p w14:paraId="6F82D5F7" w14:textId="77777777" w:rsidR="000B36E1" w:rsidRPr="00911BD5" w:rsidRDefault="00000000">
            <w:pPr>
              <w:rPr>
                <w:rFonts w:asciiTheme="majorHAnsi" w:eastAsia="Play" w:hAnsiTheme="majorHAnsi" w:cs="Play"/>
              </w:rPr>
            </w:pPr>
            <w:r w:rsidRPr="00911BD5">
              <w:rPr>
                <w:rFonts w:asciiTheme="majorHAnsi" w:eastAsia="Play" w:hAnsiTheme="majorHAnsi" w:cs="Play"/>
              </w:rPr>
              <w:t>Feasibility</w:t>
            </w:r>
          </w:p>
        </w:tc>
        <w:tc>
          <w:tcPr>
            <w:tcW w:w="1699" w:type="dxa"/>
            <w:tcBorders>
              <w:top w:val="single" w:sz="4" w:space="0" w:color="000000"/>
              <w:left w:val="single" w:sz="4" w:space="0" w:color="000000"/>
              <w:bottom w:val="single" w:sz="4" w:space="0" w:color="000000"/>
            </w:tcBorders>
          </w:tcPr>
          <w:p w14:paraId="095766E2" w14:textId="77777777" w:rsidR="000B36E1" w:rsidRPr="00911BD5" w:rsidRDefault="00000000">
            <w:pPr>
              <w:rPr>
                <w:rFonts w:asciiTheme="majorHAnsi" w:eastAsia="Play" w:hAnsiTheme="majorHAnsi" w:cs="Play"/>
              </w:rPr>
            </w:pPr>
            <w:r w:rsidRPr="00911BD5">
              <w:rPr>
                <w:rFonts w:asciiTheme="majorHAnsi" w:eastAsia="Play" w:hAnsiTheme="majorHAnsi" w:cs="Play"/>
              </w:rPr>
              <w:t>Why (based on pilots)</w:t>
            </w:r>
          </w:p>
        </w:tc>
        <w:tc>
          <w:tcPr>
            <w:tcW w:w="2901" w:type="dxa"/>
            <w:tcBorders>
              <w:top w:val="single" w:sz="4" w:space="0" w:color="000000"/>
              <w:left w:val="single" w:sz="4" w:space="0" w:color="000000"/>
              <w:bottom w:val="single" w:sz="4" w:space="0" w:color="000000"/>
            </w:tcBorders>
          </w:tcPr>
          <w:p w14:paraId="7912B335" w14:textId="77777777" w:rsidR="000B36E1" w:rsidRPr="00911BD5" w:rsidRDefault="00000000">
            <w:pPr>
              <w:rPr>
                <w:rFonts w:asciiTheme="majorHAnsi" w:eastAsia="Play" w:hAnsiTheme="majorHAnsi" w:cs="Play"/>
              </w:rPr>
            </w:pPr>
            <w:r w:rsidRPr="00911BD5">
              <w:rPr>
                <w:rFonts w:asciiTheme="majorHAnsi" w:eastAsia="Play" w:hAnsiTheme="majorHAnsi" w:cs="Play"/>
              </w:rPr>
              <w:t>Adaptation Required</w:t>
            </w:r>
          </w:p>
        </w:tc>
      </w:tr>
      <w:tr w:rsidR="000B36E1" w:rsidRPr="00911BD5" w14:paraId="4BFA59F3" w14:textId="77777777">
        <w:trPr>
          <w:cantSplit/>
          <w:jc w:val="center"/>
        </w:trPr>
        <w:tc>
          <w:tcPr>
            <w:tcW w:w="2408" w:type="dxa"/>
            <w:tcBorders>
              <w:top w:val="single" w:sz="4" w:space="0" w:color="000000"/>
              <w:bottom w:val="single" w:sz="4" w:space="0" w:color="000000"/>
            </w:tcBorders>
          </w:tcPr>
          <w:p w14:paraId="74C07B6E"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Similar to pilot sites</w:t>
            </w:r>
          </w:p>
        </w:tc>
        <w:tc>
          <w:tcPr>
            <w:tcW w:w="1676" w:type="dxa"/>
            <w:tcBorders>
              <w:top w:val="single" w:sz="4" w:space="0" w:color="000000"/>
              <w:left w:val="single" w:sz="4" w:space="0" w:color="000000"/>
              <w:bottom w:val="single" w:sz="4" w:space="0" w:color="000000"/>
            </w:tcBorders>
          </w:tcPr>
          <w:p w14:paraId="174C0E9E" w14:textId="2DEEBF0E" w:rsidR="000B36E1" w:rsidRPr="00911BD5" w:rsidRDefault="00000000">
            <w:pPr>
              <w:rPr>
                <w:rFonts w:asciiTheme="majorHAnsi" w:eastAsia="Play" w:hAnsiTheme="majorHAnsi" w:cs="Play"/>
              </w:rPr>
            </w:pPr>
            <w:sdt>
              <w:sdtPr>
                <w:rPr>
                  <w:rFonts w:asciiTheme="majorHAnsi" w:hAnsiTheme="majorHAnsi"/>
                </w:rPr>
                <w:tag w:val="goog_rdk_9"/>
                <w:id w:val="-647768192"/>
              </w:sdtPr>
              <w:sdtContent>
                <w:r w:rsidR="00193E5A"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High ☐ Med ☐ Low</w:t>
                </w:r>
              </w:sdtContent>
            </w:sdt>
          </w:p>
        </w:tc>
        <w:tc>
          <w:tcPr>
            <w:tcW w:w="1699" w:type="dxa"/>
            <w:tcBorders>
              <w:top w:val="single" w:sz="4" w:space="0" w:color="000000"/>
              <w:left w:val="single" w:sz="4" w:space="0" w:color="000000"/>
              <w:bottom w:val="single" w:sz="4" w:space="0" w:color="000000"/>
            </w:tcBorders>
          </w:tcPr>
          <w:p w14:paraId="5BD98D5A" w14:textId="3668C20F" w:rsidR="000B36E1" w:rsidRPr="00911BD5" w:rsidRDefault="00882A93">
            <w:pPr>
              <w:rPr>
                <w:rFonts w:asciiTheme="majorHAnsi" w:eastAsia="Play" w:hAnsiTheme="majorHAnsi" w:cs="Play"/>
              </w:rPr>
            </w:pPr>
            <w:r w:rsidRPr="00911BD5">
              <w:rPr>
                <w:rFonts w:asciiTheme="majorHAnsi" w:eastAsia="Play" w:hAnsiTheme="majorHAnsi" w:cs="Play"/>
              </w:rPr>
              <w:t>Proven success in using schools as hubs (IT) and digital platforms (BG) to divert equipment from the waste stream.</w:t>
            </w:r>
          </w:p>
        </w:tc>
        <w:tc>
          <w:tcPr>
            <w:tcW w:w="2901" w:type="dxa"/>
            <w:tcBorders>
              <w:top w:val="single" w:sz="4" w:space="0" w:color="000000"/>
              <w:left w:val="single" w:sz="4" w:space="0" w:color="000000"/>
              <w:bottom w:val="single" w:sz="4" w:space="0" w:color="000000"/>
            </w:tcBorders>
          </w:tcPr>
          <w:p w14:paraId="44109A40" w14:textId="67906763" w:rsidR="000B36E1" w:rsidRPr="00911BD5" w:rsidRDefault="00882A93">
            <w:pPr>
              <w:rPr>
                <w:rFonts w:asciiTheme="majorHAnsi" w:eastAsia="Play" w:hAnsiTheme="majorHAnsi" w:cs="Play"/>
              </w:rPr>
            </w:pPr>
            <w:r w:rsidRPr="00911BD5">
              <w:rPr>
                <w:rFonts w:asciiTheme="majorHAnsi" w:eastAsia="Play" w:hAnsiTheme="majorHAnsi" w:cs="Play"/>
              </w:rPr>
              <w:t>Minimal: Alignment of technical checklists and data wiping protocols.</w:t>
            </w:r>
          </w:p>
        </w:tc>
      </w:tr>
      <w:tr w:rsidR="000B36E1" w:rsidRPr="00911BD5" w14:paraId="44D4B2B6" w14:textId="77777777">
        <w:trPr>
          <w:cantSplit/>
          <w:jc w:val="center"/>
        </w:trPr>
        <w:tc>
          <w:tcPr>
            <w:tcW w:w="2408" w:type="dxa"/>
            <w:tcBorders>
              <w:top w:val="single" w:sz="4" w:space="0" w:color="000000"/>
              <w:bottom w:val="single" w:sz="4" w:space="0" w:color="000000"/>
            </w:tcBorders>
          </w:tcPr>
          <w:p w14:paraId="5E598ACE"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lastRenderedPageBreak/>
              <w:t>Different socio-economic</w:t>
            </w:r>
          </w:p>
        </w:tc>
        <w:tc>
          <w:tcPr>
            <w:tcW w:w="1676" w:type="dxa"/>
            <w:tcBorders>
              <w:top w:val="single" w:sz="4" w:space="0" w:color="000000"/>
              <w:left w:val="single" w:sz="4" w:space="0" w:color="000000"/>
              <w:bottom w:val="single" w:sz="4" w:space="0" w:color="000000"/>
            </w:tcBorders>
          </w:tcPr>
          <w:p w14:paraId="2C2EDE46" w14:textId="13C56E43" w:rsidR="000B36E1" w:rsidRPr="00911BD5" w:rsidRDefault="00000000">
            <w:pPr>
              <w:rPr>
                <w:rFonts w:asciiTheme="majorHAnsi" w:eastAsia="Play" w:hAnsiTheme="majorHAnsi" w:cs="Play"/>
              </w:rPr>
            </w:pPr>
            <w:sdt>
              <w:sdtPr>
                <w:rPr>
                  <w:rFonts w:asciiTheme="majorHAnsi" w:hAnsiTheme="majorHAnsi"/>
                </w:rPr>
                <w:tag w:val="goog_rdk_10"/>
                <w:id w:val="2106501358"/>
              </w:sdtPr>
              <w:sdtContent>
                <w:r w:rsidRPr="00911BD5">
                  <w:rPr>
                    <w:rFonts w:asciiTheme="majorHAnsi" w:eastAsia="Arial Unicode MS" w:hAnsiTheme="majorHAnsi" w:cs="Arial Unicode MS"/>
                  </w:rPr>
                  <w:t xml:space="preserve">☐ High </w:t>
                </w:r>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Med ☐ Low</w:t>
                </w:r>
              </w:sdtContent>
            </w:sdt>
          </w:p>
        </w:tc>
        <w:tc>
          <w:tcPr>
            <w:tcW w:w="1699" w:type="dxa"/>
            <w:tcBorders>
              <w:top w:val="single" w:sz="4" w:space="0" w:color="000000"/>
              <w:left w:val="single" w:sz="4" w:space="0" w:color="000000"/>
              <w:bottom w:val="single" w:sz="4" w:space="0" w:color="000000"/>
            </w:tcBorders>
          </w:tcPr>
          <w:p w14:paraId="1D11EA50" w14:textId="483BF16D" w:rsidR="000B36E1" w:rsidRPr="00911BD5" w:rsidRDefault="00882A93">
            <w:pPr>
              <w:rPr>
                <w:rFonts w:asciiTheme="majorHAnsi" w:eastAsia="Play" w:hAnsiTheme="majorHAnsi" w:cs="Play"/>
              </w:rPr>
            </w:pPr>
            <w:r w:rsidRPr="00911BD5">
              <w:rPr>
                <w:rFonts w:asciiTheme="majorHAnsi" w:eastAsia="Play" w:hAnsiTheme="majorHAnsi" w:cs="Play"/>
              </w:rPr>
              <w:t>Low-resource areas benefit most from redistributed hardware but may lack the initial budget for refurbishment components (SSDs).</w:t>
            </w:r>
          </w:p>
        </w:tc>
        <w:tc>
          <w:tcPr>
            <w:tcW w:w="2901" w:type="dxa"/>
            <w:tcBorders>
              <w:top w:val="single" w:sz="4" w:space="0" w:color="000000"/>
              <w:left w:val="single" w:sz="4" w:space="0" w:color="000000"/>
              <w:bottom w:val="single" w:sz="4" w:space="0" w:color="000000"/>
            </w:tcBorders>
          </w:tcPr>
          <w:p w14:paraId="5356D275" w14:textId="3234963E" w:rsidR="000B36E1" w:rsidRPr="00911BD5" w:rsidRDefault="00882A93">
            <w:pPr>
              <w:rPr>
                <w:rFonts w:asciiTheme="majorHAnsi" w:eastAsia="Play" w:hAnsiTheme="majorHAnsi" w:cs="Play"/>
              </w:rPr>
            </w:pPr>
            <w:r w:rsidRPr="00911BD5">
              <w:rPr>
                <w:rFonts w:asciiTheme="majorHAnsi" w:eastAsia="Play" w:hAnsiTheme="majorHAnsi" w:cs="Play"/>
              </w:rPr>
              <w:t>Moderate: Identification of external funding or PRO sponsorship for hardware upgrades.</w:t>
            </w:r>
          </w:p>
        </w:tc>
      </w:tr>
      <w:tr w:rsidR="000B36E1" w:rsidRPr="00911BD5" w14:paraId="4A945985" w14:textId="77777777">
        <w:trPr>
          <w:cantSplit/>
          <w:jc w:val="center"/>
        </w:trPr>
        <w:tc>
          <w:tcPr>
            <w:tcW w:w="2408" w:type="dxa"/>
            <w:tcBorders>
              <w:top w:val="single" w:sz="4" w:space="0" w:color="000000"/>
              <w:bottom w:val="single" w:sz="4" w:space="0" w:color="000000"/>
            </w:tcBorders>
          </w:tcPr>
          <w:p w14:paraId="2ED8D2A6"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Different regulatory environment</w:t>
            </w:r>
          </w:p>
        </w:tc>
        <w:tc>
          <w:tcPr>
            <w:tcW w:w="1676" w:type="dxa"/>
            <w:tcBorders>
              <w:top w:val="single" w:sz="4" w:space="0" w:color="000000"/>
              <w:left w:val="single" w:sz="4" w:space="0" w:color="000000"/>
              <w:bottom w:val="single" w:sz="4" w:space="0" w:color="000000"/>
            </w:tcBorders>
          </w:tcPr>
          <w:p w14:paraId="4F15FEAC" w14:textId="7A240C3C" w:rsidR="000B36E1" w:rsidRPr="00911BD5" w:rsidRDefault="00000000">
            <w:pPr>
              <w:rPr>
                <w:rFonts w:asciiTheme="majorHAnsi" w:eastAsia="Play" w:hAnsiTheme="majorHAnsi" w:cs="Play"/>
              </w:rPr>
            </w:pPr>
            <w:sdt>
              <w:sdtPr>
                <w:rPr>
                  <w:rFonts w:asciiTheme="majorHAnsi" w:hAnsiTheme="majorHAnsi"/>
                </w:rPr>
                <w:tag w:val="goog_rdk_11"/>
                <w:id w:val="2086882700"/>
              </w:sdtPr>
              <w:sdtContent>
                <w:r w:rsidRPr="00911BD5">
                  <w:rPr>
                    <w:rFonts w:asciiTheme="majorHAnsi" w:eastAsia="Arial Unicode MS" w:hAnsiTheme="majorHAnsi" w:cs="Arial Unicode MS"/>
                  </w:rPr>
                  <w:t xml:space="preserve">☐ High </w:t>
                </w:r>
                <w:r w:rsidR="00193E5A"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Med ☐ Low</w:t>
                </w:r>
              </w:sdtContent>
            </w:sdt>
          </w:p>
        </w:tc>
        <w:tc>
          <w:tcPr>
            <w:tcW w:w="1699" w:type="dxa"/>
            <w:tcBorders>
              <w:top w:val="single" w:sz="4" w:space="0" w:color="000000"/>
              <w:left w:val="single" w:sz="4" w:space="0" w:color="000000"/>
              <w:bottom w:val="single" w:sz="4" w:space="0" w:color="000000"/>
            </w:tcBorders>
          </w:tcPr>
          <w:p w14:paraId="19D7FA8F" w14:textId="39674ADA" w:rsidR="000B36E1" w:rsidRPr="00911BD5" w:rsidRDefault="00882A93">
            <w:pPr>
              <w:rPr>
                <w:rFonts w:asciiTheme="majorHAnsi" w:eastAsia="Play" w:hAnsiTheme="majorHAnsi" w:cs="Play"/>
              </w:rPr>
            </w:pPr>
            <w:r w:rsidRPr="00911BD5">
              <w:rPr>
                <w:rFonts w:asciiTheme="majorHAnsi" w:eastAsia="Play" w:hAnsiTheme="majorHAnsi" w:cs="Play"/>
              </w:rPr>
              <w:t>Rigid public accounting (CAPEX/OPEX) or procurement acts can block eco-renting models.</w:t>
            </w:r>
          </w:p>
        </w:tc>
        <w:tc>
          <w:tcPr>
            <w:tcW w:w="2901" w:type="dxa"/>
            <w:tcBorders>
              <w:top w:val="single" w:sz="4" w:space="0" w:color="000000"/>
              <w:left w:val="single" w:sz="4" w:space="0" w:color="000000"/>
              <w:bottom w:val="single" w:sz="4" w:space="0" w:color="000000"/>
            </w:tcBorders>
          </w:tcPr>
          <w:p w14:paraId="0DB3ECE9" w14:textId="7C8CA151" w:rsidR="000B36E1" w:rsidRPr="00911BD5" w:rsidRDefault="00882A93">
            <w:pPr>
              <w:rPr>
                <w:rFonts w:asciiTheme="majorHAnsi" w:eastAsia="Play" w:hAnsiTheme="majorHAnsi" w:cs="Play"/>
              </w:rPr>
            </w:pPr>
            <w:r w:rsidRPr="00911BD5">
              <w:rPr>
                <w:rFonts w:asciiTheme="majorHAnsi" w:eastAsia="Play" w:hAnsiTheme="majorHAnsi" w:cs="Play"/>
              </w:rPr>
              <w:t>Extensive: Pivot to "Circular Ownership" or "Digital Exchange" models that work within existing laws.</w:t>
            </w:r>
          </w:p>
        </w:tc>
      </w:tr>
      <w:tr w:rsidR="000B36E1" w:rsidRPr="00911BD5" w14:paraId="37C21074" w14:textId="77777777">
        <w:trPr>
          <w:cantSplit/>
          <w:jc w:val="center"/>
        </w:trPr>
        <w:tc>
          <w:tcPr>
            <w:tcW w:w="2408" w:type="dxa"/>
            <w:tcBorders>
              <w:top w:val="single" w:sz="4" w:space="0" w:color="000000"/>
              <w:bottom w:val="single" w:sz="4" w:space="0" w:color="000000"/>
            </w:tcBorders>
          </w:tcPr>
          <w:p w14:paraId="383B29F8"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Rural-dominant</w:t>
            </w:r>
          </w:p>
        </w:tc>
        <w:tc>
          <w:tcPr>
            <w:tcW w:w="1676" w:type="dxa"/>
            <w:tcBorders>
              <w:top w:val="single" w:sz="4" w:space="0" w:color="000000"/>
              <w:left w:val="single" w:sz="4" w:space="0" w:color="000000"/>
              <w:bottom w:val="single" w:sz="4" w:space="0" w:color="000000"/>
            </w:tcBorders>
          </w:tcPr>
          <w:p w14:paraId="50C5E316" w14:textId="67141C73" w:rsidR="000B36E1" w:rsidRPr="00911BD5" w:rsidRDefault="00000000">
            <w:pPr>
              <w:rPr>
                <w:rFonts w:asciiTheme="majorHAnsi" w:eastAsia="Play" w:hAnsiTheme="majorHAnsi" w:cs="Play"/>
              </w:rPr>
            </w:pPr>
            <w:sdt>
              <w:sdtPr>
                <w:rPr>
                  <w:rFonts w:asciiTheme="majorHAnsi" w:hAnsiTheme="majorHAnsi"/>
                </w:rPr>
                <w:tag w:val="goog_rdk_12"/>
                <w:id w:val="1886472073"/>
              </w:sdtPr>
              <w:sdtContent>
                <w:r w:rsidRPr="00911BD5">
                  <w:rPr>
                    <w:rFonts w:asciiTheme="majorHAnsi" w:eastAsia="Arial Unicode MS" w:hAnsiTheme="majorHAnsi" w:cs="Arial Unicode MS"/>
                  </w:rPr>
                  <w:t xml:space="preserve">☐ High </w:t>
                </w:r>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Med ☐ Low</w:t>
                </w:r>
              </w:sdtContent>
            </w:sdt>
          </w:p>
        </w:tc>
        <w:tc>
          <w:tcPr>
            <w:tcW w:w="1699" w:type="dxa"/>
            <w:tcBorders>
              <w:top w:val="single" w:sz="4" w:space="0" w:color="000000"/>
              <w:left w:val="single" w:sz="4" w:space="0" w:color="000000"/>
              <w:bottom w:val="single" w:sz="4" w:space="0" w:color="000000"/>
            </w:tcBorders>
          </w:tcPr>
          <w:p w14:paraId="52A5B495" w14:textId="64427CDF" w:rsidR="000B36E1" w:rsidRPr="00911BD5" w:rsidRDefault="00882A93">
            <w:pPr>
              <w:rPr>
                <w:rFonts w:asciiTheme="majorHAnsi" w:eastAsia="Play" w:hAnsiTheme="majorHAnsi" w:cs="Play"/>
              </w:rPr>
            </w:pPr>
            <w:r w:rsidRPr="00911BD5">
              <w:rPr>
                <w:rFonts w:asciiTheme="majorHAnsi" w:eastAsia="Play" w:hAnsiTheme="majorHAnsi" w:cs="Play"/>
              </w:rPr>
              <w:t>High logistical costs for device collection and fewer technical schools available as hubs.</w:t>
            </w:r>
          </w:p>
        </w:tc>
        <w:tc>
          <w:tcPr>
            <w:tcW w:w="2901" w:type="dxa"/>
            <w:tcBorders>
              <w:top w:val="single" w:sz="4" w:space="0" w:color="000000"/>
              <w:left w:val="single" w:sz="4" w:space="0" w:color="000000"/>
              <w:bottom w:val="single" w:sz="4" w:space="0" w:color="000000"/>
            </w:tcBorders>
          </w:tcPr>
          <w:p w14:paraId="3A0DA00E" w14:textId="640F5CAC" w:rsidR="000B36E1" w:rsidRPr="00911BD5" w:rsidRDefault="00882A93">
            <w:pPr>
              <w:rPr>
                <w:rFonts w:asciiTheme="majorHAnsi" w:eastAsia="Play" w:hAnsiTheme="majorHAnsi" w:cs="Play"/>
              </w:rPr>
            </w:pPr>
            <w:r w:rsidRPr="00911BD5">
              <w:rPr>
                <w:rFonts w:asciiTheme="majorHAnsi" w:eastAsia="Play" w:hAnsiTheme="majorHAnsi" w:cs="Play"/>
              </w:rPr>
              <w:t>Moderate: Adoption of the digital exchange model (TechSwap) to decentralize logistics via courier services.</w:t>
            </w:r>
          </w:p>
        </w:tc>
      </w:tr>
    </w:tbl>
    <w:p w14:paraId="2AFE040A" w14:textId="77777777" w:rsidR="000B36E1" w:rsidRPr="00911BD5" w:rsidRDefault="000B36E1">
      <w:pPr>
        <w:rPr>
          <w:rFonts w:asciiTheme="majorHAnsi" w:eastAsia="Play" w:hAnsiTheme="majorHAnsi" w:cs="Play"/>
        </w:rPr>
      </w:pPr>
    </w:p>
    <w:p w14:paraId="6DEDBB90" w14:textId="77777777" w:rsidR="000B36E1" w:rsidRPr="00911BD5" w:rsidRDefault="007C558F">
      <w:pPr>
        <w:rPr>
          <w:rFonts w:asciiTheme="majorHAnsi" w:eastAsia="Play" w:hAnsiTheme="majorHAnsi" w:cs="Play"/>
        </w:rPr>
      </w:pPr>
      <w:r>
        <w:rPr>
          <w:rFonts w:asciiTheme="majorHAnsi" w:hAnsiTheme="majorHAnsi"/>
          <w:noProof/>
        </w:rPr>
        <w:pict w14:anchorId="5EF9A943">
          <v:rect id="_x0000_i1030" alt="" style="width:353.25pt;height:.05pt;mso-width-percent:0;mso-height-percent:0;mso-width-percent:0;mso-height-percent:0" o:hrpct="733" o:hralign="center" o:hrstd="t" o:hr="t" fillcolor="#a0a0a0" stroked="f"/>
        </w:pict>
      </w:r>
    </w:p>
    <w:p w14:paraId="54416B89" w14:textId="77777777" w:rsidR="000B36E1" w:rsidRPr="00911BD5" w:rsidRDefault="00000000">
      <w:pPr>
        <w:spacing w:before="240" w:line="271" w:lineRule="auto"/>
        <w:rPr>
          <w:rFonts w:asciiTheme="majorHAnsi" w:eastAsia="Play" w:hAnsiTheme="majorHAnsi" w:cs="Play"/>
        </w:rPr>
      </w:pPr>
      <w:bookmarkStart w:id="16" w:name="bookmark=id.6gxw9vre52f2" w:colFirst="0" w:colLast="0"/>
      <w:bookmarkEnd w:id="16"/>
      <w:r w:rsidRPr="00911BD5">
        <w:rPr>
          <w:rFonts w:asciiTheme="majorHAnsi" w:eastAsia="Play" w:hAnsiTheme="majorHAnsi" w:cs="Play"/>
          <w:b/>
          <w:bCs/>
          <w:sz w:val="42"/>
          <w:szCs w:val="42"/>
        </w:rPr>
        <w:t>SECTION 6: ENABLING CONDITIONS &amp; BARRIERS</w:t>
      </w:r>
    </w:p>
    <w:p w14:paraId="6CC75A15" w14:textId="77777777" w:rsidR="000B36E1" w:rsidRPr="00911BD5" w:rsidRDefault="00000000">
      <w:pPr>
        <w:spacing w:before="240" w:line="271" w:lineRule="auto"/>
        <w:rPr>
          <w:rFonts w:asciiTheme="majorHAnsi" w:eastAsia="Play" w:hAnsiTheme="majorHAnsi" w:cs="Play"/>
        </w:rPr>
      </w:pPr>
      <w:bookmarkStart w:id="17" w:name="bookmark=id.kg3gj0ppu04e" w:colFirst="0" w:colLast="0"/>
      <w:bookmarkEnd w:id="17"/>
      <w:r w:rsidRPr="00911BD5">
        <w:rPr>
          <w:rFonts w:asciiTheme="majorHAnsi" w:eastAsia="Play" w:hAnsiTheme="majorHAnsi" w:cs="Play"/>
          <w:b/>
          <w:bCs/>
          <w:sz w:val="33"/>
          <w:szCs w:val="33"/>
        </w:rPr>
        <w:t>6.1 Enabling Conditions (Must-Have, Nice-to-Have)</w:t>
      </w:r>
    </w:p>
    <w:tbl>
      <w:tblPr>
        <w:tblStyle w:val="a1"/>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698"/>
        <w:gridCol w:w="1581"/>
        <w:gridCol w:w="1504"/>
        <w:gridCol w:w="3901"/>
      </w:tblGrid>
      <w:tr w:rsidR="000B36E1" w:rsidRPr="00911BD5" w14:paraId="19B6D206" w14:textId="77777777">
        <w:trPr>
          <w:cantSplit/>
          <w:jc w:val="center"/>
        </w:trPr>
        <w:tc>
          <w:tcPr>
            <w:tcW w:w="1698" w:type="dxa"/>
            <w:tcBorders>
              <w:top w:val="single" w:sz="4" w:space="0" w:color="000000"/>
              <w:bottom w:val="single" w:sz="4" w:space="0" w:color="000000"/>
            </w:tcBorders>
          </w:tcPr>
          <w:p w14:paraId="36D7C660" w14:textId="77777777" w:rsidR="000B36E1" w:rsidRPr="00911BD5" w:rsidRDefault="00000000">
            <w:pPr>
              <w:rPr>
                <w:rFonts w:asciiTheme="majorHAnsi" w:eastAsia="Play" w:hAnsiTheme="majorHAnsi" w:cs="Play"/>
              </w:rPr>
            </w:pPr>
            <w:r w:rsidRPr="00911BD5">
              <w:rPr>
                <w:rFonts w:asciiTheme="majorHAnsi" w:eastAsia="Play" w:hAnsiTheme="majorHAnsi" w:cs="Play"/>
              </w:rPr>
              <w:t>Condition</w:t>
            </w:r>
          </w:p>
        </w:tc>
        <w:tc>
          <w:tcPr>
            <w:tcW w:w="1581" w:type="dxa"/>
            <w:tcBorders>
              <w:top w:val="single" w:sz="4" w:space="0" w:color="000000"/>
              <w:left w:val="single" w:sz="4" w:space="0" w:color="000000"/>
              <w:bottom w:val="single" w:sz="4" w:space="0" w:color="000000"/>
            </w:tcBorders>
          </w:tcPr>
          <w:p w14:paraId="0EE21656" w14:textId="77777777" w:rsidR="000B36E1" w:rsidRPr="00911BD5" w:rsidRDefault="00000000">
            <w:pPr>
              <w:rPr>
                <w:rFonts w:asciiTheme="majorHAnsi" w:eastAsia="Play" w:hAnsiTheme="majorHAnsi" w:cs="Play"/>
              </w:rPr>
            </w:pPr>
            <w:r w:rsidRPr="00911BD5">
              <w:rPr>
                <w:rFonts w:asciiTheme="majorHAnsi" w:eastAsia="Play" w:hAnsiTheme="majorHAnsi" w:cs="Play"/>
              </w:rPr>
              <w:t>Importance</w:t>
            </w:r>
          </w:p>
        </w:tc>
        <w:tc>
          <w:tcPr>
            <w:tcW w:w="1504" w:type="dxa"/>
            <w:tcBorders>
              <w:top w:val="single" w:sz="4" w:space="0" w:color="000000"/>
              <w:left w:val="single" w:sz="4" w:space="0" w:color="000000"/>
              <w:bottom w:val="single" w:sz="4" w:space="0" w:color="000000"/>
            </w:tcBorders>
          </w:tcPr>
          <w:p w14:paraId="127FA355" w14:textId="77777777" w:rsidR="000B36E1" w:rsidRPr="00911BD5" w:rsidRDefault="00000000">
            <w:pPr>
              <w:rPr>
                <w:rFonts w:asciiTheme="majorHAnsi" w:eastAsia="Play" w:hAnsiTheme="majorHAnsi" w:cs="Play"/>
              </w:rPr>
            </w:pPr>
            <w:r w:rsidRPr="00911BD5">
              <w:rPr>
                <w:rFonts w:asciiTheme="majorHAnsi" w:eastAsia="Play" w:hAnsiTheme="majorHAnsi" w:cs="Play"/>
              </w:rPr>
              <w:t>Replicable?</w:t>
            </w:r>
          </w:p>
        </w:tc>
        <w:tc>
          <w:tcPr>
            <w:tcW w:w="3901" w:type="dxa"/>
            <w:tcBorders>
              <w:top w:val="single" w:sz="4" w:space="0" w:color="000000"/>
              <w:left w:val="single" w:sz="4" w:space="0" w:color="000000"/>
              <w:bottom w:val="single" w:sz="4" w:space="0" w:color="000000"/>
            </w:tcBorders>
          </w:tcPr>
          <w:p w14:paraId="45A9AF4C" w14:textId="77777777" w:rsidR="000B36E1" w:rsidRPr="00911BD5" w:rsidRDefault="00000000">
            <w:pPr>
              <w:rPr>
                <w:rFonts w:asciiTheme="majorHAnsi" w:eastAsia="Play" w:hAnsiTheme="majorHAnsi" w:cs="Play"/>
              </w:rPr>
            </w:pPr>
            <w:r w:rsidRPr="00911BD5">
              <w:rPr>
                <w:rFonts w:asciiTheme="majorHAnsi" w:eastAsia="Play" w:hAnsiTheme="majorHAnsi" w:cs="Play"/>
              </w:rPr>
              <w:t>Notes</w:t>
            </w:r>
          </w:p>
        </w:tc>
      </w:tr>
      <w:tr w:rsidR="000B36E1" w:rsidRPr="00911BD5" w14:paraId="3E3CE081" w14:textId="77777777">
        <w:trPr>
          <w:cantSplit/>
          <w:jc w:val="center"/>
        </w:trPr>
        <w:tc>
          <w:tcPr>
            <w:tcW w:w="1698" w:type="dxa"/>
            <w:tcBorders>
              <w:top w:val="single" w:sz="4" w:space="0" w:color="000000"/>
              <w:bottom w:val="single" w:sz="4" w:space="0" w:color="000000"/>
            </w:tcBorders>
          </w:tcPr>
          <w:p w14:paraId="15A3FABC" w14:textId="7EAF48CA" w:rsidR="000B36E1" w:rsidRPr="00911BD5" w:rsidRDefault="00DD2FFF">
            <w:pPr>
              <w:rPr>
                <w:rFonts w:asciiTheme="majorHAnsi" w:eastAsia="Play" w:hAnsiTheme="majorHAnsi" w:cs="Play"/>
              </w:rPr>
            </w:pPr>
            <w:r w:rsidRPr="00911BD5">
              <w:rPr>
                <w:rFonts w:asciiTheme="majorHAnsi" w:eastAsia="Play" w:hAnsiTheme="majorHAnsi" w:cs="Play"/>
                <w:b/>
                <w:bCs/>
              </w:rPr>
              <w:t>Regional inventory/tracking system</w:t>
            </w:r>
          </w:p>
        </w:tc>
        <w:tc>
          <w:tcPr>
            <w:tcW w:w="1581" w:type="dxa"/>
            <w:tcBorders>
              <w:top w:val="single" w:sz="4" w:space="0" w:color="000000"/>
              <w:left w:val="single" w:sz="4" w:space="0" w:color="000000"/>
              <w:bottom w:val="single" w:sz="4" w:space="0" w:color="000000"/>
            </w:tcBorders>
          </w:tcPr>
          <w:p w14:paraId="4ED6CDDF" w14:textId="6BFC0B36" w:rsidR="000B36E1" w:rsidRPr="00911BD5" w:rsidRDefault="00000000">
            <w:pPr>
              <w:rPr>
                <w:rFonts w:asciiTheme="majorHAnsi" w:eastAsia="Play" w:hAnsiTheme="majorHAnsi" w:cs="Play"/>
              </w:rPr>
            </w:pPr>
            <w:sdt>
              <w:sdtPr>
                <w:rPr>
                  <w:rFonts w:asciiTheme="majorHAnsi" w:hAnsiTheme="majorHAnsi"/>
                </w:rPr>
                <w:tag w:val="goog_rdk_13"/>
                <w:id w:val="914521786"/>
              </w:sdtPr>
              <w:sdtContent>
                <w:r w:rsidR="00DD2FFF"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Must ☐ Nice</w:t>
                </w:r>
              </w:sdtContent>
            </w:sdt>
          </w:p>
        </w:tc>
        <w:tc>
          <w:tcPr>
            <w:tcW w:w="1504" w:type="dxa"/>
            <w:tcBorders>
              <w:top w:val="single" w:sz="4" w:space="0" w:color="000000"/>
              <w:left w:val="single" w:sz="4" w:space="0" w:color="000000"/>
              <w:bottom w:val="single" w:sz="4" w:space="0" w:color="000000"/>
            </w:tcBorders>
          </w:tcPr>
          <w:p w14:paraId="21A4BA1B" w14:textId="43C4C54F" w:rsidR="000B36E1" w:rsidRPr="00911BD5" w:rsidRDefault="00000000">
            <w:pPr>
              <w:rPr>
                <w:rFonts w:asciiTheme="majorHAnsi" w:eastAsia="Play" w:hAnsiTheme="majorHAnsi" w:cs="Play"/>
              </w:rPr>
            </w:pPr>
            <w:sdt>
              <w:sdtPr>
                <w:rPr>
                  <w:rFonts w:asciiTheme="majorHAnsi" w:hAnsiTheme="majorHAnsi"/>
                </w:rPr>
                <w:tag w:val="goog_rdk_14"/>
                <w:id w:val="1016639722"/>
              </w:sdtPr>
              <w:sdtContent>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Yes ☐ Partial</w:t>
                </w:r>
              </w:sdtContent>
            </w:sdt>
          </w:p>
        </w:tc>
        <w:tc>
          <w:tcPr>
            <w:tcW w:w="3901" w:type="dxa"/>
            <w:tcBorders>
              <w:top w:val="single" w:sz="4" w:space="0" w:color="000000"/>
              <w:left w:val="single" w:sz="4" w:space="0" w:color="000000"/>
              <w:bottom w:val="single" w:sz="4" w:space="0" w:color="000000"/>
            </w:tcBorders>
          </w:tcPr>
          <w:p w14:paraId="47846C55" w14:textId="0BD02CDA" w:rsidR="000B36E1" w:rsidRPr="00911BD5" w:rsidRDefault="00882A93">
            <w:pPr>
              <w:rPr>
                <w:rFonts w:asciiTheme="majorHAnsi" w:eastAsia="Play" w:hAnsiTheme="majorHAnsi" w:cs="Play"/>
              </w:rPr>
            </w:pPr>
            <w:r w:rsidRPr="00911BD5">
              <w:rPr>
                <w:rFonts w:asciiTheme="majorHAnsi" w:eastAsia="Play" w:hAnsiTheme="majorHAnsi" w:cs="Play"/>
              </w:rPr>
              <w:t>Essential for monitoring the flow of decommissioned ICT assets from providers to users.</w:t>
            </w:r>
          </w:p>
        </w:tc>
      </w:tr>
      <w:tr w:rsidR="000B36E1" w:rsidRPr="00911BD5" w14:paraId="20FA4023" w14:textId="77777777">
        <w:trPr>
          <w:cantSplit/>
          <w:jc w:val="center"/>
        </w:trPr>
        <w:tc>
          <w:tcPr>
            <w:tcW w:w="1698" w:type="dxa"/>
            <w:tcBorders>
              <w:top w:val="single" w:sz="4" w:space="0" w:color="000000"/>
              <w:bottom w:val="single" w:sz="4" w:space="0" w:color="000000"/>
            </w:tcBorders>
          </w:tcPr>
          <w:p w14:paraId="407D96B8" w14:textId="03E25D42" w:rsidR="000B36E1" w:rsidRPr="00911BD5" w:rsidRDefault="00DD2FFF">
            <w:pPr>
              <w:rPr>
                <w:rFonts w:asciiTheme="majorHAnsi" w:eastAsia="Play" w:hAnsiTheme="majorHAnsi" w:cs="Play"/>
              </w:rPr>
            </w:pPr>
            <w:r w:rsidRPr="00911BD5">
              <w:rPr>
                <w:rFonts w:asciiTheme="majorHAnsi" w:eastAsia="Play" w:hAnsiTheme="majorHAnsi" w:cs="Play"/>
                <w:b/>
                <w:bCs/>
              </w:rPr>
              <w:t>Formal institutional agreements between authorities and schools</w:t>
            </w:r>
          </w:p>
        </w:tc>
        <w:tc>
          <w:tcPr>
            <w:tcW w:w="1581" w:type="dxa"/>
            <w:tcBorders>
              <w:top w:val="single" w:sz="4" w:space="0" w:color="000000"/>
              <w:left w:val="single" w:sz="4" w:space="0" w:color="000000"/>
              <w:bottom w:val="single" w:sz="4" w:space="0" w:color="000000"/>
            </w:tcBorders>
          </w:tcPr>
          <w:p w14:paraId="2D0BF33A" w14:textId="242C74A8" w:rsidR="000B36E1" w:rsidRPr="00911BD5" w:rsidRDefault="00000000">
            <w:pPr>
              <w:rPr>
                <w:rFonts w:asciiTheme="majorHAnsi" w:eastAsia="Play" w:hAnsiTheme="majorHAnsi" w:cs="Play"/>
              </w:rPr>
            </w:pPr>
            <w:sdt>
              <w:sdtPr>
                <w:rPr>
                  <w:rFonts w:asciiTheme="majorHAnsi" w:hAnsiTheme="majorHAnsi"/>
                </w:rPr>
                <w:tag w:val="goog_rdk_15"/>
                <w:id w:val="2012372631"/>
              </w:sdtPr>
              <w:sdtContent>
                <w:r w:rsidR="00DD2FFF"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Must ☐ Nice</w:t>
                </w:r>
              </w:sdtContent>
            </w:sdt>
          </w:p>
        </w:tc>
        <w:tc>
          <w:tcPr>
            <w:tcW w:w="1504" w:type="dxa"/>
            <w:tcBorders>
              <w:top w:val="single" w:sz="4" w:space="0" w:color="000000"/>
              <w:left w:val="single" w:sz="4" w:space="0" w:color="000000"/>
              <w:bottom w:val="single" w:sz="4" w:space="0" w:color="000000"/>
            </w:tcBorders>
          </w:tcPr>
          <w:p w14:paraId="3E7EBE81" w14:textId="284A4702" w:rsidR="000B36E1" w:rsidRPr="00911BD5" w:rsidRDefault="00000000">
            <w:pPr>
              <w:rPr>
                <w:rFonts w:asciiTheme="majorHAnsi" w:eastAsia="Play" w:hAnsiTheme="majorHAnsi" w:cs="Play"/>
              </w:rPr>
            </w:pPr>
            <w:sdt>
              <w:sdtPr>
                <w:rPr>
                  <w:rFonts w:asciiTheme="majorHAnsi" w:hAnsiTheme="majorHAnsi"/>
                </w:rPr>
                <w:tag w:val="goog_rdk_16"/>
                <w:id w:val="-842048516"/>
              </w:sdtPr>
              <w:sdtContent>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Yes ☐ Partial</w:t>
                </w:r>
              </w:sdtContent>
            </w:sdt>
          </w:p>
        </w:tc>
        <w:tc>
          <w:tcPr>
            <w:tcW w:w="3901" w:type="dxa"/>
            <w:tcBorders>
              <w:top w:val="single" w:sz="4" w:space="0" w:color="000000"/>
              <w:left w:val="single" w:sz="4" w:space="0" w:color="000000"/>
              <w:bottom w:val="single" w:sz="4" w:space="0" w:color="000000"/>
            </w:tcBorders>
          </w:tcPr>
          <w:p w14:paraId="1F5F2AD0" w14:textId="41CCF5FF" w:rsidR="000B36E1" w:rsidRPr="00911BD5" w:rsidRDefault="00882A93">
            <w:pPr>
              <w:rPr>
                <w:rFonts w:asciiTheme="majorHAnsi" w:eastAsia="Play" w:hAnsiTheme="majorHAnsi" w:cs="Play"/>
              </w:rPr>
            </w:pPr>
            <w:r w:rsidRPr="00911BD5">
              <w:rPr>
                <w:rFonts w:asciiTheme="majorHAnsi" w:eastAsia="Play" w:hAnsiTheme="majorHAnsi" w:cs="Play"/>
              </w:rPr>
              <w:t>Legal framework/MOUs between public bodies, schools, and reuse centres are vital for asset transfers.</w:t>
            </w:r>
          </w:p>
        </w:tc>
      </w:tr>
      <w:tr w:rsidR="000B36E1" w:rsidRPr="00911BD5" w14:paraId="71C264F9" w14:textId="77777777">
        <w:trPr>
          <w:cantSplit/>
          <w:jc w:val="center"/>
        </w:trPr>
        <w:tc>
          <w:tcPr>
            <w:tcW w:w="1698" w:type="dxa"/>
            <w:tcBorders>
              <w:top w:val="single" w:sz="4" w:space="0" w:color="000000"/>
              <w:bottom w:val="single" w:sz="4" w:space="0" w:color="000000"/>
            </w:tcBorders>
          </w:tcPr>
          <w:p w14:paraId="3B7B38A3" w14:textId="5D86F7E8" w:rsidR="000B36E1" w:rsidRPr="00911BD5" w:rsidRDefault="00DD2FFF">
            <w:pPr>
              <w:rPr>
                <w:rFonts w:asciiTheme="majorHAnsi" w:eastAsia="Play" w:hAnsiTheme="majorHAnsi" w:cs="Play"/>
              </w:rPr>
            </w:pPr>
            <w:r w:rsidRPr="00911BD5">
              <w:rPr>
                <w:rFonts w:asciiTheme="majorHAnsi" w:eastAsia="Play" w:hAnsiTheme="majorHAnsi" w:cs="Play"/>
                <w:b/>
                <w:bCs/>
              </w:rPr>
              <w:lastRenderedPageBreak/>
              <w:t>Dedicated funding for initial refurbishment hardware</w:t>
            </w:r>
          </w:p>
        </w:tc>
        <w:tc>
          <w:tcPr>
            <w:tcW w:w="1581" w:type="dxa"/>
            <w:tcBorders>
              <w:top w:val="single" w:sz="4" w:space="0" w:color="000000"/>
              <w:left w:val="single" w:sz="4" w:space="0" w:color="000000"/>
              <w:bottom w:val="single" w:sz="4" w:space="0" w:color="000000"/>
            </w:tcBorders>
          </w:tcPr>
          <w:p w14:paraId="0138885B" w14:textId="601D2DD0" w:rsidR="000B36E1" w:rsidRPr="00911BD5" w:rsidRDefault="00000000">
            <w:pPr>
              <w:rPr>
                <w:rFonts w:asciiTheme="majorHAnsi" w:eastAsia="Play" w:hAnsiTheme="majorHAnsi" w:cs="Play"/>
              </w:rPr>
            </w:pPr>
            <w:sdt>
              <w:sdtPr>
                <w:rPr>
                  <w:rFonts w:asciiTheme="majorHAnsi" w:hAnsiTheme="majorHAnsi"/>
                </w:rPr>
                <w:tag w:val="goog_rdk_17"/>
                <w:id w:val="-768120098"/>
              </w:sdtPr>
              <w:sdtContent>
                <w:r w:rsidR="00DD2FFF"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Must ☐ Nice</w:t>
                </w:r>
              </w:sdtContent>
            </w:sdt>
          </w:p>
        </w:tc>
        <w:tc>
          <w:tcPr>
            <w:tcW w:w="1504" w:type="dxa"/>
            <w:tcBorders>
              <w:top w:val="single" w:sz="4" w:space="0" w:color="000000"/>
              <w:left w:val="single" w:sz="4" w:space="0" w:color="000000"/>
              <w:bottom w:val="single" w:sz="4" w:space="0" w:color="000000"/>
            </w:tcBorders>
          </w:tcPr>
          <w:p w14:paraId="70D3B4F1" w14:textId="594BEACC" w:rsidR="000B36E1" w:rsidRPr="00911BD5" w:rsidRDefault="00000000">
            <w:pPr>
              <w:rPr>
                <w:rFonts w:asciiTheme="majorHAnsi" w:eastAsia="Play" w:hAnsiTheme="majorHAnsi" w:cs="Play"/>
              </w:rPr>
            </w:pPr>
            <w:sdt>
              <w:sdtPr>
                <w:rPr>
                  <w:rFonts w:asciiTheme="majorHAnsi" w:hAnsiTheme="majorHAnsi"/>
                </w:rPr>
                <w:tag w:val="goog_rdk_18"/>
                <w:id w:val="95731319"/>
              </w:sdtPr>
              <w:sdtContent>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Yes ☐ Partial</w:t>
                </w:r>
              </w:sdtContent>
            </w:sdt>
          </w:p>
        </w:tc>
        <w:tc>
          <w:tcPr>
            <w:tcW w:w="3901" w:type="dxa"/>
            <w:tcBorders>
              <w:top w:val="single" w:sz="4" w:space="0" w:color="000000"/>
              <w:left w:val="single" w:sz="4" w:space="0" w:color="000000"/>
              <w:bottom w:val="single" w:sz="4" w:space="0" w:color="000000"/>
            </w:tcBorders>
          </w:tcPr>
          <w:p w14:paraId="04D17000" w14:textId="0C0B8661" w:rsidR="000B36E1" w:rsidRPr="00911BD5" w:rsidRDefault="00882A93">
            <w:pPr>
              <w:rPr>
                <w:rFonts w:asciiTheme="majorHAnsi" w:eastAsia="Play" w:hAnsiTheme="majorHAnsi" w:cs="Play"/>
              </w:rPr>
            </w:pPr>
            <w:r w:rsidRPr="00911BD5">
              <w:rPr>
                <w:rFonts w:asciiTheme="majorHAnsi" w:eastAsia="Play" w:hAnsiTheme="majorHAnsi" w:cs="Play"/>
              </w:rPr>
              <w:t>Required for purchasing components like SSDs to ensure refurbished tech is functionally viable.</w:t>
            </w:r>
          </w:p>
        </w:tc>
      </w:tr>
    </w:tbl>
    <w:p w14:paraId="49A88E68" w14:textId="77777777" w:rsidR="000B36E1" w:rsidRPr="00911BD5" w:rsidRDefault="000B36E1">
      <w:pPr>
        <w:rPr>
          <w:rFonts w:asciiTheme="majorHAnsi" w:eastAsia="Play" w:hAnsiTheme="majorHAnsi" w:cs="Play"/>
        </w:rPr>
      </w:pPr>
    </w:p>
    <w:p w14:paraId="626BFFA0" w14:textId="77777777" w:rsidR="000B36E1" w:rsidRPr="00911BD5" w:rsidRDefault="00000000">
      <w:pPr>
        <w:spacing w:before="240" w:line="271" w:lineRule="auto"/>
        <w:rPr>
          <w:rFonts w:asciiTheme="majorHAnsi" w:eastAsia="Play" w:hAnsiTheme="majorHAnsi" w:cs="Play"/>
        </w:rPr>
      </w:pPr>
      <w:bookmarkStart w:id="18" w:name="bookmark=id.jmtdfbiyhluz" w:colFirst="0" w:colLast="0"/>
      <w:bookmarkEnd w:id="18"/>
      <w:r w:rsidRPr="00911BD5">
        <w:rPr>
          <w:rFonts w:asciiTheme="majorHAnsi" w:eastAsia="Play" w:hAnsiTheme="majorHAnsi" w:cs="Play"/>
          <w:b/>
          <w:bCs/>
          <w:sz w:val="33"/>
          <w:szCs w:val="33"/>
        </w:rPr>
        <w:t>6.2 Main Barriers &amp; Mitigation</w:t>
      </w:r>
    </w:p>
    <w:tbl>
      <w:tblPr>
        <w:tblStyle w:val="a2"/>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557"/>
        <w:gridCol w:w="2622"/>
        <w:gridCol w:w="1534"/>
        <w:gridCol w:w="2971"/>
      </w:tblGrid>
      <w:tr w:rsidR="000B36E1" w:rsidRPr="00911BD5" w14:paraId="609B04B0" w14:textId="77777777">
        <w:trPr>
          <w:cantSplit/>
          <w:jc w:val="center"/>
        </w:trPr>
        <w:tc>
          <w:tcPr>
            <w:tcW w:w="1557" w:type="dxa"/>
            <w:tcBorders>
              <w:top w:val="single" w:sz="4" w:space="0" w:color="000000"/>
              <w:bottom w:val="single" w:sz="4" w:space="0" w:color="000000"/>
            </w:tcBorders>
          </w:tcPr>
          <w:p w14:paraId="643A80C7" w14:textId="77777777" w:rsidR="000B36E1" w:rsidRPr="00911BD5" w:rsidRDefault="00000000">
            <w:pPr>
              <w:rPr>
                <w:rFonts w:asciiTheme="majorHAnsi" w:eastAsia="Play" w:hAnsiTheme="majorHAnsi" w:cs="Play"/>
              </w:rPr>
            </w:pPr>
            <w:r w:rsidRPr="00911BD5">
              <w:rPr>
                <w:rFonts w:asciiTheme="majorHAnsi" w:eastAsia="Play" w:hAnsiTheme="majorHAnsi" w:cs="Play"/>
              </w:rPr>
              <w:t>Barrier</w:t>
            </w:r>
          </w:p>
        </w:tc>
        <w:tc>
          <w:tcPr>
            <w:tcW w:w="2622" w:type="dxa"/>
            <w:tcBorders>
              <w:top w:val="single" w:sz="4" w:space="0" w:color="000000"/>
              <w:left w:val="single" w:sz="4" w:space="0" w:color="000000"/>
              <w:bottom w:val="single" w:sz="4" w:space="0" w:color="000000"/>
            </w:tcBorders>
          </w:tcPr>
          <w:p w14:paraId="336B4276" w14:textId="77777777" w:rsidR="000B36E1" w:rsidRPr="00911BD5" w:rsidRDefault="00000000">
            <w:pPr>
              <w:rPr>
                <w:rFonts w:asciiTheme="majorHAnsi" w:eastAsia="Play" w:hAnsiTheme="majorHAnsi" w:cs="Play"/>
              </w:rPr>
            </w:pPr>
            <w:r w:rsidRPr="00911BD5">
              <w:rPr>
                <w:rFonts w:asciiTheme="majorHAnsi" w:eastAsia="Play" w:hAnsiTheme="majorHAnsi" w:cs="Play"/>
              </w:rPr>
              <w:t>Common to All Pilots?</w:t>
            </w:r>
          </w:p>
        </w:tc>
        <w:tc>
          <w:tcPr>
            <w:tcW w:w="1534" w:type="dxa"/>
            <w:tcBorders>
              <w:top w:val="single" w:sz="4" w:space="0" w:color="000000"/>
              <w:left w:val="single" w:sz="4" w:space="0" w:color="000000"/>
              <w:bottom w:val="single" w:sz="4" w:space="0" w:color="000000"/>
            </w:tcBorders>
          </w:tcPr>
          <w:p w14:paraId="34E17F7C" w14:textId="77777777" w:rsidR="000B36E1" w:rsidRPr="00911BD5" w:rsidRDefault="00000000">
            <w:pPr>
              <w:rPr>
                <w:rFonts w:asciiTheme="majorHAnsi" w:eastAsia="Play" w:hAnsiTheme="majorHAnsi" w:cs="Play"/>
              </w:rPr>
            </w:pPr>
            <w:r w:rsidRPr="00911BD5">
              <w:rPr>
                <w:rFonts w:asciiTheme="majorHAnsi" w:eastAsia="Play" w:hAnsiTheme="majorHAnsi" w:cs="Play"/>
              </w:rPr>
              <w:t>Impact (H/M/L)</w:t>
            </w:r>
          </w:p>
        </w:tc>
        <w:tc>
          <w:tcPr>
            <w:tcW w:w="2971" w:type="dxa"/>
            <w:tcBorders>
              <w:top w:val="single" w:sz="4" w:space="0" w:color="000000"/>
              <w:left w:val="single" w:sz="4" w:space="0" w:color="000000"/>
              <w:bottom w:val="single" w:sz="4" w:space="0" w:color="000000"/>
            </w:tcBorders>
          </w:tcPr>
          <w:p w14:paraId="49E490FD" w14:textId="77777777" w:rsidR="000B36E1" w:rsidRPr="00911BD5" w:rsidRDefault="00000000">
            <w:pPr>
              <w:rPr>
                <w:rFonts w:asciiTheme="majorHAnsi" w:eastAsia="Play" w:hAnsiTheme="majorHAnsi" w:cs="Play"/>
              </w:rPr>
            </w:pPr>
            <w:r w:rsidRPr="00911BD5">
              <w:rPr>
                <w:rFonts w:asciiTheme="majorHAnsi" w:eastAsia="Play" w:hAnsiTheme="majorHAnsi" w:cs="Play"/>
              </w:rPr>
              <w:t>Mitigation Applied (What Worked?)</w:t>
            </w:r>
          </w:p>
        </w:tc>
      </w:tr>
      <w:tr w:rsidR="000B36E1" w:rsidRPr="00911BD5" w14:paraId="03A3B590" w14:textId="77777777">
        <w:trPr>
          <w:cantSplit/>
          <w:jc w:val="center"/>
        </w:trPr>
        <w:tc>
          <w:tcPr>
            <w:tcW w:w="1557" w:type="dxa"/>
            <w:tcBorders>
              <w:top w:val="single" w:sz="4" w:space="0" w:color="000000"/>
              <w:bottom w:val="single" w:sz="4" w:space="0" w:color="000000"/>
            </w:tcBorders>
          </w:tcPr>
          <w:p w14:paraId="360FB86B" w14:textId="0AF95C42" w:rsidR="000B36E1" w:rsidRPr="00911BD5" w:rsidRDefault="00DD2FFF">
            <w:pPr>
              <w:rPr>
                <w:rFonts w:asciiTheme="majorHAnsi" w:eastAsia="Play" w:hAnsiTheme="majorHAnsi" w:cs="Play"/>
              </w:rPr>
            </w:pPr>
            <w:r w:rsidRPr="00911BD5">
              <w:rPr>
                <w:rFonts w:asciiTheme="majorHAnsi" w:eastAsia="Play" w:hAnsiTheme="majorHAnsi" w:cs="Play"/>
                <w:b/>
                <w:bCs/>
              </w:rPr>
              <w:t>Administrative complexity in public accounting</w:t>
            </w:r>
          </w:p>
        </w:tc>
        <w:tc>
          <w:tcPr>
            <w:tcW w:w="2622" w:type="dxa"/>
            <w:tcBorders>
              <w:top w:val="single" w:sz="4" w:space="0" w:color="000000"/>
              <w:left w:val="single" w:sz="4" w:space="0" w:color="000000"/>
              <w:bottom w:val="single" w:sz="4" w:space="0" w:color="000000"/>
            </w:tcBorders>
          </w:tcPr>
          <w:p w14:paraId="1422AA9B" w14:textId="28ABA3FC" w:rsidR="000B36E1" w:rsidRPr="00911BD5" w:rsidRDefault="00000000">
            <w:pPr>
              <w:rPr>
                <w:rFonts w:asciiTheme="majorHAnsi" w:eastAsia="Play" w:hAnsiTheme="majorHAnsi" w:cs="Play"/>
              </w:rPr>
            </w:pPr>
            <w:sdt>
              <w:sdtPr>
                <w:rPr>
                  <w:rFonts w:asciiTheme="majorHAnsi" w:hAnsiTheme="majorHAnsi"/>
                </w:rPr>
                <w:tag w:val="goog_rdk_19"/>
                <w:id w:val="589723085"/>
              </w:sdtPr>
              <w:sdtContent>
                <w:r w:rsidR="00DD2FFF"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Yes ☐ Partial ☐ Territory-specific</w:t>
                </w:r>
              </w:sdtContent>
            </w:sdt>
          </w:p>
        </w:tc>
        <w:tc>
          <w:tcPr>
            <w:tcW w:w="1534" w:type="dxa"/>
            <w:tcBorders>
              <w:top w:val="single" w:sz="4" w:space="0" w:color="000000"/>
              <w:left w:val="single" w:sz="4" w:space="0" w:color="000000"/>
              <w:bottom w:val="single" w:sz="4" w:space="0" w:color="000000"/>
            </w:tcBorders>
          </w:tcPr>
          <w:p w14:paraId="10F7A599" w14:textId="6E5152C6" w:rsidR="000B36E1" w:rsidRPr="00911BD5" w:rsidRDefault="00000000">
            <w:pPr>
              <w:rPr>
                <w:rFonts w:asciiTheme="majorHAnsi" w:eastAsia="Play" w:hAnsiTheme="majorHAnsi" w:cs="Play"/>
              </w:rPr>
            </w:pPr>
            <w:sdt>
              <w:sdtPr>
                <w:rPr>
                  <w:rFonts w:asciiTheme="majorHAnsi" w:hAnsiTheme="majorHAnsi"/>
                </w:rPr>
                <w:tag w:val="goog_rdk_20"/>
                <w:id w:val="2028581400"/>
              </w:sdtPr>
              <w:sdtContent>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H ☐ M ☐ L</w:t>
                </w:r>
              </w:sdtContent>
            </w:sdt>
          </w:p>
        </w:tc>
        <w:tc>
          <w:tcPr>
            <w:tcW w:w="2971" w:type="dxa"/>
            <w:tcBorders>
              <w:top w:val="single" w:sz="4" w:space="0" w:color="000000"/>
              <w:left w:val="single" w:sz="4" w:space="0" w:color="000000"/>
              <w:bottom w:val="single" w:sz="4" w:space="0" w:color="000000"/>
            </w:tcBorders>
          </w:tcPr>
          <w:p w14:paraId="07989549" w14:textId="46B309E8" w:rsidR="000B36E1" w:rsidRPr="00911BD5" w:rsidRDefault="00882A93">
            <w:pPr>
              <w:rPr>
                <w:rFonts w:asciiTheme="majorHAnsi" w:eastAsia="Play" w:hAnsiTheme="majorHAnsi" w:cs="Play"/>
              </w:rPr>
            </w:pPr>
            <w:r w:rsidRPr="00911BD5">
              <w:rPr>
                <w:rFonts w:asciiTheme="majorHAnsi" w:eastAsia="Play" w:hAnsiTheme="majorHAnsi" w:cs="Play"/>
              </w:rPr>
              <w:t>When eco-renting proved unfeasible due to the Bulgarian Public Procurement Act and rigid Italian accounting (CAPEX/OPEX), the pilots pivoted to "Circular Ownership" and Digital Exchange Platforms</w:t>
            </w:r>
          </w:p>
        </w:tc>
      </w:tr>
      <w:tr w:rsidR="000B36E1" w:rsidRPr="00911BD5" w14:paraId="03E3852A" w14:textId="77777777">
        <w:trPr>
          <w:cantSplit/>
          <w:jc w:val="center"/>
        </w:trPr>
        <w:tc>
          <w:tcPr>
            <w:tcW w:w="1557" w:type="dxa"/>
            <w:tcBorders>
              <w:top w:val="single" w:sz="4" w:space="0" w:color="000000"/>
              <w:bottom w:val="single" w:sz="4" w:space="0" w:color="000000"/>
            </w:tcBorders>
          </w:tcPr>
          <w:p w14:paraId="18A8D555" w14:textId="1917301F" w:rsidR="000B36E1" w:rsidRPr="00911BD5" w:rsidRDefault="00DD2FFF">
            <w:pPr>
              <w:rPr>
                <w:rFonts w:asciiTheme="majorHAnsi" w:eastAsia="Play" w:hAnsiTheme="majorHAnsi" w:cs="Play"/>
              </w:rPr>
            </w:pPr>
            <w:r w:rsidRPr="00911BD5">
              <w:rPr>
                <w:rFonts w:asciiTheme="majorHAnsi" w:eastAsia="Play" w:hAnsiTheme="majorHAnsi" w:cs="Play"/>
                <w:b/>
                <w:bCs/>
              </w:rPr>
              <w:t>Logistical challenges in device collection</w:t>
            </w:r>
          </w:p>
        </w:tc>
        <w:tc>
          <w:tcPr>
            <w:tcW w:w="2622" w:type="dxa"/>
            <w:tcBorders>
              <w:top w:val="single" w:sz="4" w:space="0" w:color="000000"/>
              <w:left w:val="single" w:sz="4" w:space="0" w:color="000000"/>
              <w:bottom w:val="single" w:sz="4" w:space="0" w:color="000000"/>
            </w:tcBorders>
          </w:tcPr>
          <w:p w14:paraId="200CE12B" w14:textId="6DF122C9" w:rsidR="000B36E1" w:rsidRPr="00911BD5" w:rsidRDefault="00000000">
            <w:pPr>
              <w:rPr>
                <w:rFonts w:asciiTheme="majorHAnsi" w:eastAsia="Play" w:hAnsiTheme="majorHAnsi" w:cs="Play"/>
              </w:rPr>
            </w:pPr>
            <w:sdt>
              <w:sdtPr>
                <w:rPr>
                  <w:rFonts w:asciiTheme="majorHAnsi" w:hAnsiTheme="majorHAnsi"/>
                </w:rPr>
                <w:tag w:val="goog_rdk_23"/>
                <w:id w:val="1765344359"/>
              </w:sdtPr>
              <w:sdtContent>
                <w:r w:rsidR="00DD2FFF"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Yes ☐ Partial ☐ Territory-specific</w:t>
                </w:r>
              </w:sdtContent>
            </w:sdt>
          </w:p>
        </w:tc>
        <w:tc>
          <w:tcPr>
            <w:tcW w:w="1534" w:type="dxa"/>
            <w:tcBorders>
              <w:top w:val="single" w:sz="4" w:space="0" w:color="000000"/>
              <w:left w:val="single" w:sz="4" w:space="0" w:color="000000"/>
              <w:bottom w:val="single" w:sz="4" w:space="0" w:color="000000"/>
            </w:tcBorders>
          </w:tcPr>
          <w:p w14:paraId="2926E672" w14:textId="327C8B87" w:rsidR="000B36E1" w:rsidRPr="00911BD5" w:rsidRDefault="00000000">
            <w:pPr>
              <w:rPr>
                <w:rFonts w:asciiTheme="majorHAnsi" w:eastAsia="Play" w:hAnsiTheme="majorHAnsi" w:cs="Play"/>
              </w:rPr>
            </w:pPr>
            <w:sdt>
              <w:sdtPr>
                <w:rPr>
                  <w:rFonts w:asciiTheme="majorHAnsi" w:hAnsiTheme="majorHAnsi"/>
                </w:rPr>
                <w:tag w:val="goog_rdk_24"/>
                <w:id w:val="-478998690"/>
              </w:sdtPr>
              <w:sdtContent>
                <w:r w:rsidR="00882A93" w:rsidRPr="00911BD5">
                  <w:rPr>
                    <w:rFonts w:asciiTheme="majorHAnsi" w:eastAsia="Arial Unicode MS" w:hAnsiTheme="majorHAnsi" w:cs="Arial Unicode MS"/>
                  </w:rPr>
                  <w:t>X</w:t>
                </w:r>
                <w:r w:rsidRPr="00911BD5">
                  <w:rPr>
                    <w:rFonts w:asciiTheme="majorHAnsi" w:eastAsia="Arial Unicode MS" w:hAnsiTheme="majorHAnsi" w:cs="Arial Unicode MS"/>
                  </w:rPr>
                  <w:t xml:space="preserve"> H ☐ M ☐ L</w:t>
                </w:r>
              </w:sdtContent>
            </w:sdt>
          </w:p>
        </w:tc>
        <w:tc>
          <w:tcPr>
            <w:tcW w:w="2971" w:type="dxa"/>
            <w:tcBorders>
              <w:top w:val="single" w:sz="4" w:space="0" w:color="000000"/>
              <w:left w:val="single" w:sz="4" w:space="0" w:color="000000"/>
              <w:bottom w:val="single" w:sz="4" w:space="0" w:color="000000"/>
            </w:tcBorders>
          </w:tcPr>
          <w:p w14:paraId="54636341" w14:textId="3BF392D9" w:rsidR="000B36E1" w:rsidRPr="00911BD5" w:rsidRDefault="00882A93">
            <w:pPr>
              <w:rPr>
                <w:rFonts w:asciiTheme="majorHAnsi" w:eastAsia="Play" w:hAnsiTheme="majorHAnsi" w:cs="Play"/>
              </w:rPr>
            </w:pPr>
            <w:r w:rsidRPr="00911BD5">
              <w:rPr>
                <w:rFonts w:asciiTheme="majorHAnsi" w:eastAsia="Play" w:hAnsiTheme="majorHAnsi" w:cs="Play"/>
              </w:rPr>
              <w:t>Adopted a "Selective Census" approach, performing technical screenings at the source to prevent collecting non-reusable "junk"</w:t>
            </w:r>
          </w:p>
        </w:tc>
      </w:tr>
      <w:tr w:rsidR="00882A93" w:rsidRPr="00911BD5" w14:paraId="359C7F55" w14:textId="77777777">
        <w:trPr>
          <w:cantSplit/>
          <w:jc w:val="center"/>
        </w:trPr>
        <w:tc>
          <w:tcPr>
            <w:tcW w:w="1557" w:type="dxa"/>
            <w:tcBorders>
              <w:top w:val="single" w:sz="4" w:space="0" w:color="000000"/>
              <w:bottom w:val="single" w:sz="4" w:space="0" w:color="000000"/>
            </w:tcBorders>
          </w:tcPr>
          <w:p w14:paraId="060F9024" w14:textId="3582AA31" w:rsidR="00882A93" w:rsidRPr="00911BD5" w:rsidRDefault="00882A93" w:rsidP="00882A93">
            <w:pPr>
              <w:rPr>
                <w:rFonts w:asciiTheme="majorHAnsi" w:eastAsia="Play" w:hAnsiTheme="majorHAnsi" w:cs="Play"/>
                <w:b/>
                <w:bCs/>
              </w:rPr>
            </w:pPr>
            <w:r w:rsidRPr="00911BD5">
              <w:rPr>
                <w:rFonts w:asciiTheme="majorHAnsi" w:eastAsia="Play" w:hAnsiTheme="majorHAnsi" w:cs="Play"/>
                <w:b/>
                <w:bCs/>
              </w:rPr>
              <w:t>Limited institutional experience</w:t>
            </w:r>
          </w:p>
        </w:tc>
        <w:tc>
          <w:tcPr>
            <w:tcW w:w="2622" w:type="dxa"/>
            <w:tcBorders>
              <w:top w:val="single" w:sz="4" w:space="0" w:color="000000"/>
              <w:left w:val="single" w:sz="4" w:space="0" w:color="000000"/>
              <w:bottom w:val="single" w:sz="4" w:space="0" w:color="000000"/>
            </w:tcBorders>
          </w:tcPr>
          <w:p w14:paraId="1E1977B1" w14:textId="69E7A2AB" w:rsidR="00882A93" w:rsidRPr="00911BD5" w:rsidRDefault="00000000" w:rsidP="00882A93">
            <w:pPr>
              <w:rPr>
                <w:rFonts w:asciiTheme="majorHAnsi" w:eastAsia="Arial Unicode MS" w:hAnsiTheme="majorHAnsi" w:cs="Arial Unicode MS"/>
              </w:rPr>
            </w:pPr>
            <w:sdt>
              <w:sdtPr>
                <w:rPr>
                  <w:rFonts w:asciiTheme="majorHAnsi" w:hAnsiTheme="majorHAnsi"/>
                </w:rPr>
                <w:tag w:val="goog_rdk_23"/>
                <w:id w:val="-324045801"/>
              </w:sdtPr>
              <w:sdtContent>
                <w:r w:rsidR="00882A93" w:rsidRPr="00911BD5">
                  <w:rPr>
                    <w:rFonts w:asciiTheme="majorHAnsi" w:eastAsia="Arial Unicode MS" w:hAnsiTheme="majorHAnsi" w:cs="Arial Unicode MS"/>
                  </w:rPr>
                  <w:t xml:space="preserve">X Yes </w:t>
                </w:r>
                <w:r w:rsidR="00882A93" w:rsidRPr="00911BD5">
                  <w:rPr>
                    <w:rFonts w:asciiTheme="majorHAnsi" w:eastAsia="Arial Unicode MS" w:hAnsiTheme="majorHAnsi" w:cs="Segoe UI Symbol"/>
                  </w:rPr>
                  <w:t>☐</w:t>
                </w:r>
                <w:r w:rsidR="00882A93" w:rsidRPr="00911BD5">
                  <w:rPr>
                    <w:rFonts w:asciiTheme="majorHAnsi" w:eastAsia="Arial Unicode MS" w:hAnsiTheme="majorHAnsi" w:cs="Arial Unicode MS"/>
                  </w:rPr>
                  <w:t xml:space="preserve"> Partial </w:t>
                </w:r>
                <w:r w:rsidR="00882A93" w:rsidRPr="00911BD5">
                  <w:rPr>
                    <w:rFonts w:asciiTheme="majorHAnsi" w:eastAsia="Arial Unicode MS" w:hAnsiTheme="majorHAnsi" w:cs="Segoe UI Symbol"/>
                  </w:rPr>
                  <w:t>☐</w:t>
                </w:r>
                <w:r w:rsidR="00882A93" w:rsidRPr="00911BD5">
                  <w:rPr>
                    <w:rFonts w:asciiTheme="majorHAnsi" w:eastAsia="Arial Unicode MS" w:hAnsiTheme="majorHAnsi" w:cs="Arial Unicode MS"/>
                  </w:rPr>
                  <w:t xml:space="preserve"> Territory-specific</w:t>
                </w:r>
              </w:sdtContent>
            </w:sdt>
          </w:p>
        </w:tc>
        <w:tc>
          <w:tcPr>
            <w:tcW w:w="1534" w:type="dxa"/>
            <w:tcBorders>
              <w:top w:val="single" w:sz="4" w:space="0" w:color="000000"/>
              <w:left w:val="single" w:sz="4" w:space="0" w:color="000000"/>
              <w:bottom w:val="single" w:sz="4" w:space="0" w:color="000000"/>
            </w:tcBorders>
          </w:tcPr>
          <w:p w14:paraId="52118722" w14:textId="682B39B4" w:rsidR="00882A93" w:rsidRPr="00911BD5" w:rsidRDefault="00000000" w:rsidP="00882A93">
            <w:pPr>
              <w:rPr>
                <w:rFonts w:asciiTheme="majorHAnsi" w:eastAsia="Arial Unicode MS" w:hAnsiTheme="majorHAnsi" w:cs="Arial Unicode MS"/>
              </w:rPr>
            </w:pPr>
            <w:sdt>
              <w:sdtPr>
                <w:rPr>
                  <w:rFonts w:asciiTheme="majorHAnsi" w:hAnsiTheme="majorHAnsi"/>
                </w:rPr>
                <w:tag w:val="goog_rdk_24"/>
                <w:id w:val="-1163772370"/>
              </w:sdtPr>
              <w:sdtContent>
                <w:r w:rsidR="00882A93" w:rsidRPr="00911BD5">
                  <w:rPr>
                    <w:rFonts w:asciiTheme="majorHAnsi" w:eastAsia="Arial Unicode MS" w:hAnsiTheme="majorHAnsi" w:cs="Arial Unicode MS"/>
                  </w:rPr>
                  <w:t xml:space="preserve">X H </w:t>
                </w:r>
                <w:r w:rsidR="00882A93" w:rsidRPr="00911BD5">
                  <w:rPr>
                    <w:rFonts w:asciiTheme="majorHAnsi" w:eastAsia="Arial Unicode MS" w:hAnsiTheme="majorHAnsi" w:cs="Segoe UI Symbol"/>
                  </w:rPr>
                  <w:t>☐</w:t>
                </w:r>
                <w:r w:rsidR="00882A93" w:rsidRPr="00911BD5">
                  <w:rPr>
                    <w:rFonts w:asciiTheme="majorHAnsi" w:eastAsia="Arial Unicode MS" w:hAnsiTheme="majorHAnsi" w:cs="Arial Unicode MS"/>
                  </w:rPr>
                  <w:t xml:space="preserve"> M </w:t>
                </w:r>
                <w:r w:rsidR="00882A93" w:rsidRPr="00911BD5">
                  <w:rPr>
                    <w:rFonts w:asciiTheme="majorHAnsi" w:eastAsia="Arial Unicode MS" w:hAnsiTheme="majorHAnsi" w:cs="Segoe UI Symbol"/>
                  </w:rPr>
                  <w:t>☐</w:t>
                </w:r>
                <w:r w:rsidR="00882A93" w:rsidRPr="00911BD5">
                  <w:rPr>
                    <w:rFonts w:asciiTheme="majorHAnsi" w:eastAsia="Arial Unicode MS" w:hAnsiTheme="majorHAnsi" w:cs="Arial Unicode MS"/>
                  </w:rPr>
                  <w:t xml:space="preserve"> L</w:t>
                </w:r>
              </w:sdtContent>
            </w:sdt>
          </w:p>
        </w:tc>
        <w:tc>
          <w:tcPr>
            <w:tcW w:w="2971" w:type="dxa"/>
            <w:tcBorders>
              <w:top w:val="single" w:sz="4" w:space="0" w:color="000000"/>
              <w:left w:val="single" w:sz="4" w:space="0" w:color="000000"/>
              <w:bottom w:val="single" w:sz="4" w:space="0" w:color="000000"/>
            </w:tcBorders>
          </w:tcPr>
          <w:p w14:paraId="057A0849" w14:textId="690799CC" w:rsidR="00882A93" w:rsidRPr="00911BD5" w:rsidRDefault="00882A93" w:rsidP="00882A93">
            <w:pPr>
              <w:rPr>
                <w:rFonts w:asciiTheme="majorHAnsi" w:eastAsia="Play" w:hAnsiTheme="majorHAnsi" w:cs="Play"/>
              </w:rPr>
            </w:pPr>
            <w:r w:rsidRPr="00911BD5">
              <w:rPr>
                <w:rFonts w:asciiTheme="majorHAnsi" w:eastAsia="Play" w:hAnsiTheme="majorHAnsi" w:cs="Play"/>
              </w:rPr>
              <w:t>Provided capacity building, workshops, and legal guidance for public administrators on circular procurement.</w:t>
            </w:r>
          </w:p>
        </w:tc>
      </w:tr>
    </w:tbl>
    <w:p w14:paraId="4A7859D9" w14:textId="77777777" w:rsidR="000B36E1" w:rsidRPr="00911BD5" w:rsidRDefault="000B36E1">
      <w:pPr>
        <w:rPr>
          <w:rFonts w:asciiTheme="majorHAnsi" w:eastAsia="Play" w:hAnsiTheme="majorHAnsi" w:cs="Play"/>
        </w:rPr>
      </w:pPr>
    </w:p>
    <w:p w14:paraId="061BBF83" w14:textId="77777777" w:rsidR="000B36E1" w:rsidRPr="00911BD5" w:rsidRDefault="007C558F">
      <w:pPr>
        <w:rPr>
          <w:rFonts w:asciiTheme="majorHAnsi" w:eastAsia="Play" w:hAnsiTheme="majorHAnsi" w:cs="Play"/>
        </w:rPr>
      </w:pPr>
      <w:r>
        <w:rPr>
          <w:rFonts w:asciiTheme="majorHAnsi" w:hAnsiTheme="majorHAnsi"/>
          <w:noProof/>
        </w:rPr>
        <w:pict w14:anchorId="63D398A6">
          <v:rect id="_x0000_i1029" alt="" style="width:353.25pt;height:.05pt;mso-width-percent:0;mso-height-percent:0;mso-width-percent:0;mso-height-percent:0" o:hrpct="733" o:hralign="center" o:hrstd="t" o:hr="t" fillcolor="#a0a0a0" stroked="f"/>
        </w:pict>
      </w:r>
    </w:p>
    <w:p w14:paraId="718ECAB8" w14:textId="77777777" w:rsidR="000B36E1" w:rsidRPr="00911BD5" w:rsidRDefault="00000000">
      <w:pPr>
        <w:spacing w:before="240" w:line="271" w:lineRule="auto"/>
        <w:rPr>
          <w:rFonts w:asciiTheme="majorHAnsi" w:eastAsia="Play" w:hAnsiTheme="majorHAnsi" w:cs="Play"/>
        </w:rPr>
      </w:pPr>
      <w:bookmarkStart w:id="19" w:name="bookmark=id.79lkqh69pcob" w:colFirst="0" w:colLast="0"/>
      <w:bookmarkEnd w:id="19"/>
      <w:r w:rsidRPr="00911BD5">
        <w:rPr>
          <w:rFonts w:asciiTheme="majorHAnsi" w:eastAsia="Play" w:hAnsiTheme="majorHAnsi" w:cs="Play"/>
          <w:b/>
          <w:bCs/>
          <w:sz w:val="42"/>
          <w:szCs w:val="42"/>
        </w:rPr>
        <w:t>SECTION 7: ADAPTATION ROADMAP FOR NEW TERRITORIES</w:t>
      </w:r>
    </w:p>
    <w:p w14:paraId="0E03F5A6" w14:textId="77777777" w:rsidR="000B36E1" w:rsidRPr="00911BD5" w:rsidRDefault="00000000">
      <w:pPr>
        <w:spacing w:before="240" w:line="271" w:lineRule="auto"/>
        <w:rPr>
          <w:rFonts w:asciiTheme="majorHAnsi" w:eastAsia="Play" w:hAnsiTheme="majorHAnsi" w:cs="Play"/>
        </w:rPr>
      </w:pPr>
      <w:bookmarkStart w:id="20" w:name="bookmark=id.3hb2ctekxjsb" w:colFirst="0" w:colLast="0"/>
      <w:bookmarkEnd w:id="20"/>
      <w:r w:rsidRPr="00911BD5">
        <w:rPr>
          <w:rFonts w:asciiTheme="majorHAnsi" w:eastAsia="Play" w:hAnsiTheme="majorHAnsi" w:cs="Play"/>
          <w:b/>
          <w:bCs/>
          <w:sz w:val="33"/>
          <w:szCs w:val="33"/>
        </w:rPr>
        <w:t>7.1 Core Model (What Stays Fixed)</w:t>
      </w:r>
    </w:p>
    <w:p w14:paraId="4503FE4B" w14:textId="45E4C273" w:rsidR="000B36E1" w:rsidRPr="00911BD5" w:rsidRDefault="00DD2FFF" w:rsidP="00DD2FFF">
      <w:pPr>
        <w:spacing w:after="210"/>
        <w:rPr>
          <w:rFonts w:asciiTheme="majorHAnsi" w:eastAsia="Play" w:hAnsiTheme="majorHAnsi" w:cs="Play"/>
        </w:rPr>
      </w:pPr>
      <w:r w:rsidRPr="00911BD5">
        <w:rPr>
          <w:rFonts w:asciiTheme="majorHAnsi" w:eastAsia="Play" w:hAnsiTheme="majorHAnsi" w:cs="Play"/>
        </w:rPr>
        <w:t>Core Model: (1) Selective census of decommissioned equipment, (2) Certified data wiping and technical diagnostics, (3) Refurbishment via technical hub or listing on a digital exchange platform, and (4) Social delivery to schools, NGOs, or citizens in need</w:t>
      </w:r>
    </w:p>
    <w:p w14:paraId="453F5059" w14:textId="77777777" w:rsidR="000B36E1" w:rsidRPr="00911BD5" w:rsidRDefault="00000000">
      <w:pPr>
        <w:spacing w:before="240" w:line="271" w:lineRule="auto"/>
        <w:rPr>
          <w:rFonts w:asciiTheme="majorHAnsi" w:eastAsia="Play" w:hAnsiTheme="majorHAnsi" w:cs="Play"/>
        </w:rPr>
      </w:pPr>
      <w:bookmarkStart w:id="21" w:name="bookmark=id.t8jd2g8h3z75" w:colFirst="0" w:colLast="0"/>
      <w:bookmarkEnd w:id="21"/>
      <w:r w:rsidRPr="00911BD5">
        <w:rPr>
          <w:rFonts w:asciiTheme="majorHAnsi" w:eastAsia="Play" w:hAnsiTheme="majorHAnsi" w:cs="Play"/>
          <w:b/>
          <w:bCs/>
          <w:sz w:val="33"/>
          <w:szCs w:val="33"/>
        </w:rPr>
        <w:t>7.2 Adaptation Elements (What Changes by Context)</w:t>
      </w:r>
    </w:p>
    <w:tbl>
      <w:tblPr>
        <w:tblStyle w:val="a3"/>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086"/>
        <w:gridCol w:w="1595"/>
        <w:gridCol w:w="5003"/>
      </w:tblGrid>
      <w:tr w:rsidR="000B36E1" w:rsidRPr="00911BD5" w14:paraId="7E7422ED" w14:textId="77777777">
        <w:trPr>
          <w:cantSplit/>
          <w:jc w:val="center"/>
        </w:trPr>
        <w:tc>
          <w:tcPr>
            <w:tcW w:w="2086" w:type="dxa"/>
            <w:tcBorders>
              <w:top w:val="single" w:sz="4" w:space="0" w:color="000000"/>
              <w:bottom w:val="single" w:sz="4" w:space="0" w:color="000000"/>
            </w:tcBorders>
          </w:tcPr>
          <w:p w14:paraId="28FA3CA7" w14:textId="77777777" w:rsidR="000B36E1" w:rsidRPr="00911BD5" w:rsidRDefault="00000000">
            <w:pPr>
              <w:rPr>
                <w:rFonts w:asciiTheme="majorHAnsi" w:eastAsia="Play" w:hAnsiTheme="majorHAnsi" w:cs="Play"/>
              </w:rPr>
            </w:pPr>
            <w:r w:rsidRPr="00911BD5">
              <w:rPr>
                <w:rFonts w:asciiTheme="majorHAnsi" w:eastAsia="Play" w:hAnsiTheme="majorHAnsi" w:cs="Play"/>
              </w:rPr>
              <w:lastRenderedPageBreak/>
              <w:t>Element</w:t>
            </w:r>
          </w:p>
        </w:tc>
        <w:tc>
          <w:tcPr>
            <w:tcW w:w="1595" w:type="dxa"/>
            <w:tcBorders>
              <w:top w:val="single" w:sz="4" w:space="0" w:color="000000"/>
              <w:left w:val="single" w:sz="4" w:space="0" w:color="000000"/>
              <w:bottom w:val="single" w:sz="4" w:space="0" w:color="000000"/>
            </w:tcBorders>
          </w:tcPr>
          <w:p w14:paraId="22F58FBD" w14:textId="77777777" w:rsidR="000B36E1" w:rsidRPr="00911BD5" w:rsidRDefault="00000000">
            <w:pPr>
              <w:rPr>
                <w:rFonts w:asciiTheme="majorHAnsi" w:eastAsia="Play" w:hAnsiTheme="majorHAnsi" w:cs="Play"/>
              </w:rPr>
            </w:pPr>
            <w:r w:rsidRPr="00911BD5">
              <w:rPr>
                <w:rFonts w:asciiTheme="majorHAnsi" w:eastAsia="Play" w:hAnsiTheme="majorHAnsi" w:cs="Play"/>
              </w:rPr>
              <w:t>Core Approach</w:t>
            </w:r>
          </w:p>
        </w:tc>
        <w:tc>
          <w:tcPr>
            <w:tcW w:w="5003" w:type="dxa"/>
            <w:tcBorders>
              <w:top w:val="single" w:sz="4" w:space="0" w:color="000000"/>
              <w:left w:val="single" w:sz="4" w:space="0" w:color="000000"/>
              <w:bottom w:val="single" w:sz="4" w:space="0" w:color="000000"/>
            </w:tcBorders>
          </w:tcPr>
          <w:p w14:paraId="4197FA8F" w14:textId="77777777" w:rsidR="000B36E1" w:rsidRPr="00911BD5" w:rsidRDefault="00000000">
            <w:pPr>
              <w:rPr>
                <w:rFonts w:asciiTheme="majorHAnsi" w:eastAsia="Play" w:hAnsiTheme="majorHAnsi" w:cs="Play"/>
              </w:rPr>
            </w:pPr>
            <w:r w:rsidRPr="00911BD5">
              <w:rPr>
                <w:rFonts w:asciiTheme="majorHAnsi" w:eastAsia="Play" w:hAnsiTheme="majorHAnsi" w:cs="Play"/>
              </w:rPr>
              <w:t>Adaptation by Territory Type</w:t>
            </w:r>
          </w:p>
        </w:tc>
      </w:tr>
      <w:tr w:rsidR="000B36E1" w:rsidRPr="00911BD5" w14:paraId="4A6445A1" w14:textId="77777777">
        <w:trPr>
          <w:cantSplit/>
          <w:jc w:val="center"/>
        </w:trPr>
        <w:tc>
          <w:tcPr>
            <w:tcW w:w="2086" w:type="dxa"/>
            <w:tcBorders>
              <w:top w:val="single" w:sz="4" w:space="0" w:color="000000"/>
              <w:bottom w:val="single" w:sz="4" w:space="0" w:color="000000"/>
            </w:tcBorders>
          </w:tcPr>
          <w:p w14:paraId="486CDC47" w14:textId="68C4F953" w:rsidR="000B36E1" w:rsidRPr="00911BD5" w:rsidRDefault="00882A93">
            <w:pPr>
              <w:rPr>
                <w:rFonts w:asciiTheme="majorHAnsi" w:eastAsia="Play" w:hAnsiTheme="majorHAnsi" w:cs="Play"/>
              </w:rPr>
            </w:pPr>
            <w:r w:rsidRPr="00911BD5">
              <w:rPr>
                <w:rFonts w:asciiTheme="majorHAnsi" w:eastAsia="Play" w:hAnsiTheme="majorHAnsi" w:cs="Play"/>
                <w:b/>
                <w:bCs/>
              </w:rPr>
              <w:t>Refurbishment Infrastructure</w:t>
            </w:r>
          </w:p>
        </w:tc>
        <w:tc>
          <w:tcPr>
            <w:tcW w:w="1595" w:type="dxa"/>
            <w:tcBorders>
              <w:top w:val="single" w:sz="4" w:space="0" w:color="000000"/>
              <w:left w:val="single" w:sz="4" w:space="0" w:color="000000"/>
              <w:bottom w:val="single" w:sz="4" w:space="0" w:color="000000"/>
            </w:tcBorders>
          </w:tcPr>
          <w:p w14:paraId="134B6524" w14:textId="77777777" w:rsidR="000B36E1" w:rsidRPr="00911BD5" w:rsidRDefault="00000000">
            <w:pPr>
              <w:rPr>
                <w:rFonts w:asciiTheme="majorHAnsi" w:eastAsia="Play" w:hAnsiTheme="majorHAnsi" w:cs="Play"/>
              </w:rPr>
            </w:pPr>
            <w:r w:rsidRPr="00911BD5">
              <w:rPr>
                <w:rFonts w:asciiTheme="majorHAnsi" w:eastAsia="Play" w:hAnsiTheme="majorHAnsi" w:cs="Play"/>
              </w:rPr>
              <w:t>[Standard]</w:t>
            </w:r>
          </w:p>
        </w:tc>
        <w:tc>
          <w:tcPr>
            <w:tcW w:w="5003" w:type="dxa"/>
            <w:tcBorders>
              <w:top w:val="single" w:sz="4" w:space="0" w:color="000000"/>
              <w:left w:val="single" w:sz="4" w:space="0" w:color="000000"/>
              <w:bottom w:val="single" w:sz="4" w:space="0" w:color="000000"/>
            </w:tcBorders>
          </w:tcPr>
          <w:p w14:paraId="6FB3776B" w14:textId="77777777" w:rsidR="00882A93" w:rsidRPr="00911BD5" w:rsidRDefault="00882A93" w:rsidP="00882A93">
            <w:pPr>
              <w:rPr>
                <w:rFonts w:asciiTheme="majorHAnsi" w:eastAsia="Play" w:hAnsiTheme="majorHAnsi" w:cs="Play"/>
              </w:rPr>
            </w:pPr>
            <w:r w:rsidRPr="00911BD5">
              <w:rPr>
                <w:rFonts w:asciiTheme="majorHAnsi" w:eastAsia="Play" w:hAnsiTheme="majorHAnsi" w:cs="Play"/>
              </w:rPr>
              <w:t xml:space="preserve">Urban/High Capacity: Establish Technical Vocational Schools as "Local Refurbishment Hubs" (Italy model). </w:t>
            </w:r>
          </w:p>
          <w:p w14:paraId="4E73C548" w14:textId="2A14815C" w:rsidR="000B36E1" w:rsidRPr="00911BD5" w:rsidRDefault="00882A93" w:rsidP="00882A93">
            <w:pPr>
              <w:rPr>
                <w:rFonts w:asciiTheme="majorHAnsi" w:eastAsia="Play" w:hAnsiTheme="majorHAnsi" w:cs="Play"/>
              </w:rPr>
            </w:pPr>
            <w:r w:rsidRPr="00911BD5">
              <w:rPr>
                <w:rFonts w:asciiTheme="majorHAnsi" w:eastAsia="Play" w:hAnsiTheme="majorHAnsi" w:cs="Play"/>
              </w:rPr>
              <w:t>Rural/Low Capacity: Use a decentralized Digital Exchange Platform (EESwap) for direct peer-to-peer municipal exchange (Bulgaria model)</w:t>
            </w:r>
          </w:p>
        </w:tc>
      </w:tr>
      <w:tr w:rsidR="000B36E1" w:rsidRPr="00911BD5" w14:paraId="7450EFCC" w14:textId="77777777">
        <w:trPr>
          <w:cantSplit/>
          <w:jc w:val="center"/>
        </w:trPr>
        <w:tc>
          <w:tcPr>
            <w:tcW w:w="2086" w:type="dxa"/>
            <w:tcBorders>
              <w:top w:val="single" w:sz="4" w:space="0" w:color="000000"/>
              <w:bottom w:val="single" w:sz="4" w:space="0" w:color="000000"/>
            </w:tcBorders>
          </w:tcPr>
          <w:p w14:paraId="03D00F9A" w14:textId="6CBA27B5" w:rsidR="000B36E1" w:rsidRPr="00911BD5" w:rsidRDefault="00882A93">
            <w:pPr>
              <w:rPr>
                <w:rFonts w:asciiTheme="majorHAnsi" w:eastAsia="Play" w:hAnsiTheme="majorHAnsi" w:cs="Play"/>
              </w:rPr>
            </w:pPr>
            <w:r w:rsidRPr="00911BD5">
              <w:rPr>
                <w:rFonts w:asciiTheme="majorHAnsi" w:eastAsia="Play" w:hAnsiTheme="majorHAnsi" w:cs="Play"/>
                <w:b/>
                <w:bCs/>
              </w:rPr>
              <w:t>Logistics and collection</w:t>
            </w:r>
          </w:p>
        </w:tc>
        <w:tc>
          <w:tcPr>
            <w:tcW w:w="1595" w:type="dxa"/>
            <w:tcBorders>
              <w:top w:val="single" w:sz="4" w:space="0" w:color="000000"/>
              <w:left w:val="single" w:sz="4" w:space="0" w:color="000000"/>
              <w:bottom w:val="single" w:sz="4" w:space="0" w:color="000000"/>
            </w:tcBorders>
          </w:tcPr>
          <w:p w14:paraId="5FF33FD0" w14:textId="77777777" w:rsidR="000B36E1" w:rsidRPr="00911BD5" w:rsidRDefault="00000000">
            <w:pPr>
              <w:rPr>
                <w:rFonts w:asciiTheme="majorHAnsi" w:eastAsia="Play" w:hAnsiTheme="majorHAnsi" w:cs="Play"/>
              </w:rPr>
            </w:pPr>
            <w:r w:rsidRPr="00911BD5">
              <w:rPr>
                <w:rFonts w:asciiTheme="majorHAnsi" w:eastAsia="Play" w:hAnsiTheme="majorHAnsi" w:cs="Play"/>
              </w:rPr>
              <w:t>[Standard]</w:t>
            </w:r>
          </w:p>
        </w:tc>
        <w:tc>
          <w:tcPr>
            <w:tcW w:w="5003" w:type="dxa"/>
            <w:tcBorders>
              <w:top w:val="single" w:sz="4" w:space="0" w:color="000000"/>
              <w:left w:val="single" w:sz="4" w:space="0" w:color="000000"/>
              <w:bottom w:val="single" w:sz="4" w:space="0" w:color="000000"/>
            </w:tcBorders>
          </w:tcPr>
          <w:p w14:paraId="7DD76339" w14:textId="0BA1A8A3" w:rsidR="00882A93" w:rsidRPr="00911BD5" w:rsidRDefault="00882A93" w:rsidP="00882A93">
            <w:pPr>
              <w:rPr>
                <w:rFonts w:asciiTheme="majorHAnsi" w:eastAsia="Play" w:hAnsiTheme="majorHAnsi" w:cs="Play"/>
              </w:rPr>
            </w:pPr>
            <w:r w:rsidRPr="00911BD5">
              <w:rPr>
                <w:rFonts w:asciiTheme="majorHAnsi" w:eastAsia="Play" w:hAnsiTheme="majorHAnsi" w:cs="Play"/>
              </w:rPr>
              <w:t>Urban: Utilize centralized regional logistics and warehouses.</w:t>
            </w:r>
          </w:p>
          <w:p w14:paraId="11E40999" w14:textId="74737021" w:rsidR="000B36E1" w:rsidRPr="00911BD5" w:rsidRDefault="00882A93" w:rsidP="00882A93">
            <w:pPr>
              <w:rPr>
                <w:rFonts w:asciiTheme="majorHAnsi" w:eastAsia="Play" w:hAnsiTheme="majorHAnsi" w:cs="Play"/>
              </w:rPr>
            </w:pPr>
            <w:r w:rsidRPr="00911BD5">
              <w:rPr>
                <w:rFonts w:asciiTheme="majorHAnsi" w:eastAsia="Play" w:hAnsiTheme="majorHAnsi" w:cs="Play"/>
              </w:rPr>
              <w:t>Rural: Integrate automated courier service calculations into the digital platform for decentralized delivery</w:t>
            </w:r>
          </w:p>
        </w:tc>
      </w:tr>
      <w:tr w:rsidR="000B36E1" w:rsidRPr="00911BD5" w14:paraId="31FD87EA" w14:textId="77777777">
        <w:trPr>
          <w:cantSplit/>
          <w:jc w:val="center"/>
        </w:trPr>
        <w:tc>
          <w:tcPr>
            <w:tcW w:w="2086" w:type="dxa"/>
            <w:tcBorders>
              <w:top w:val="single" w:sz="4" w:space="0" w:color="000000"/>
              <w:bottom w:val="single" w:sz="4" w:space="0" w:color="000000"/>
            </w:tcBorders>
          </w:tcPr>
          <w:p w14:paraId="600C4E4F" w14:textId="2C719DA7" w:rsidR="000B36E1" w:rsidRPr="00911BD5" w:rsidRDefault="00882A93">
            <w:pPr>
              <w:rPr>
                <w:rFonts w:asciiTheme="majorHAnsi" w:eastAsia="Play" w:hAnsiTheme="majorHAnsi" w:cs="Play"/>
              </w:rPr>
            </w:pPr>
            <w:r w:rsidRPr="00911BD5">
              <w:rPr>
                <w:rFonts w:asciiTheme="majorHAnsi" w:eastAsia="Play" w:hAnsiTheme="majorHAnsi" w:cs="Play"/>
                <w:b/>
                <w:bCs/>
              </w:rPr>
              <w:t>Stakeholder Role</w:t>
            </w:r>
          </w:p>
        </w:tc>
        <w:tc>
          <w:tcPr>
            <w:tcW w:w="1595" w:type="dxa"/>
            <w:tcBorders>
              <w:top w:val="single" w:sz="4" w:space="0" w:color="000000"/>
              <w:left w:val="single" w:sz="4" w:space="0" w:color="000000"/>
              <w:bottom w:val="single" w:sz="4" w:space="0" w:color="000000"/>
            </w:tcBorders>
          </w:tcPr>
          <w:p w14:paraId="53250770" w14:textId="77777777" w:rsidR="000B36E1" w:rsidRPr="00911BD5" w:rsidRDefault="00000000">
            <w:pPr>
              <w:rPr>
                <w:rFonts w:asciiTheme="majorHAnsi" w:eastAsia="Play" w:hAnsiTheme="majorHAnsi" w:cs="Play"/>
              </w:rPr>
            </w:pPr>
            <w:r w:rsidRPr="00911BD5">
              <w:rPr>
                <w:rFonts w:asciiTheme="majorHAnsi" w:eastAsia="Play" w:hAnsiTheme="majorHAnsi" w:cs="Play"/>
              </w:rPr>
              <w:t>[Standard]</w:t>
            </w:r>
          </w:p>
        </w:tc>
        <w:tc>
          <w:tcPr>
            <w:tcW w:w="5003" w:type="dxa"/>
            <w:tcBorders>
              <w:top w:val="single" w:sz="4" w:space="0" w:color="000000"/>
              <w:left w:val="single" w:sz="4" w:space="0" w:color="000000"/>
              <w:bottom w:val="single" w:sz="4" w:space="0" w:color="000000"/>
            </w:tcBorders>
          </w:tcPr>
          <w:p w14:paraId="610EE4F8" w14:textId="77777777" w:rsidR="00882A93" w:rsidRPr="00911BD5" w:rsidRDefault="00882A93" w:rsidP="00882A93">
            <w:pPr>
              <w:rPr>
                <w:rFonts w:asciiTheme="majorHAnsi" w:eastAsia="Play" w:hAnsiTheme="majorHAnsi" w:cs="Play"/>
              </w:rPr>
            </w:pPr>
            <w:r w:rsidRPr="00911BD5">
              <w:rPr>
                <w:rFonts w:asciiTheme="majorHAnsi" w:eastAsia="Play" w:hAnsiTheme="majorHAnsi" w:cs="Play"/>
              </w:rPr>
              <w:t>Regulatory Supportive: Implement formal circular procurement/eco-renting tenders.</w:t>
            </w:r>
          </w:p>
          <w:p w14:paraId="4E9B2C41" w14:textId="1372F9CE" w:rsidR="000B36E1" w:rsidRPr="00911BD5" w:rsidRDefault="00882A93" w:rsidP="00882A93">
            <w:pPr>
              <w:rPr>
                <w:rFonts w:asciiTheme="majorHAnsi" w:eastAsia="Play" w:hAnsiTheme="majorHAnsi" w:cs="Play"/>
              </w:rPr>
            </w:pPr>
            <w:r w:rsidRPr="00911BD5">
              <w:rPr>
                <w:rFonts w:asciiTheme="majorHAnsi" w:eastAsia="Play" w:hAnsiTheme="majorHAnsi" w:cs="Play"/>
              </w:rPr>
              <w:t>Neutral/Restrictive: Pivot to a "Circular Ownership" model that transfers assets via MOUs rather than complex service contracts</w:t>
            </w:r>
          </w:p>
        </w:tc>
      </w:tr>
    </w:tbl>
    <w:p w14:paraId="6653EEBA" w14:textId="77777777" w:rsidR="000B36E1" w:rsidRPr="00911BD5" w:rsidRDefault="000B36E1">
      <w:pPr>
        <w:rPr>
          <w:rFonts w:asciiTheme="majorHAnsi" w:eastAsia="Play" w:hAnsiTheme="majorHAnsi" w:cs="Play"/>
        </w:rPr>
      </w:pPr>
    </w:p>
    <w:p w14:paraId="3CFA43CA" w14:textId="77777777" w:rsidR="000B36E1" w:rsidRPr="00911BD5" w:rsidRDefault="00000000">
      <w:pPr>
        <w:spacing w:before="240" w:line="271" w:lineRule="auto"/>
        <w:rPr>
          <w:rFonts w:asciiTheme="majorHAnsi" w:eastAsia="Play" w:hAnsiTheme="majorHAnsi" w:cs="Play"/>
        </w:rPr>
      </w:pPr>
      <w:bookmarkStart w:id="22" w:name="bookmark=id.1ivmdv3tmcip" w:colFirst="0" w:colLast="0"/>
      <w:bookmarkEnd w:id="22"/>
      <w:r w:rsidRPr="00911BD5">
        <w:rPr>
          <w:rFonts w:asciiTheme="majorHAnsi" w:eastAsia="Play" w:hAnsiTheme="majorHAnsi" w:cs="Play"/>
          <w:b/>
          <w:bCs/>
          <w:sz w:val="33"/>
          <w:szCs w:val="33"/>
        </w:rPr>
        <w:t>7.3 Replication Timeline (Informed by WP2)</w:t>
      </w:r>
    </w:p>
    <w:p w14:paraId="68077DA3"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rPr>
        <w:t>Based on your pilot experience, how long to replicate in a new territory?</w:t>
      </w:r>
    </w:p>
    <w:tbl>
      <w:tblPr>
        <w:tblStyle w:val="a4"/>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511"/>
        <w:gridCol w:w="1298"/>
        <w:gridCol w:w="2653"/>
        <w:gridCol w:w="2222"/>
      </w:tblGrid>
      <w:tr w:rsidR="000B36E1" w:rsidRPr="00911BD5" w14:paraId="7DD29BCE" w14:textId="77777777">
        <w:trPr>
          <w:cantSplit/>
          <w:jc w:val="center"/>
        </w:trPr>
        <w:tc>
          <w:tcPr>
            <w:tcW w:w="2511" w:type="dxa"/>
            <w:tcBorders>
              <w:top w:val="single" w:sz="4" w:space="0" w:color="000000"/>
              <w:bottom w:val="single" w:sz="4" w:space="0" w:color="000000"/>
            </w:tcBorders>
          </w:tcPr>
          <w:p w14:paraId="026BCD94" w14:textId="77777777" w:rsidR="000B36E1" w:rsidRPr="00911BD5" w:rsidRDefault="00000000">
            <w:pPr>
              <w:rPr>
                <w:rFonts w:asciiTheme="majorHAnsi" w:eastAsia="Play" w:hAnsiTheme="majorHAnsi" w:cs="Play"/>
              </w:rPr>
            </w:pPr>
            <w:r w:rsidRPr="00911BD5">
              <w:rPr>
                <w:rFonts w:asciiTheme="majorHAnsi" w:eastAsia="Play" w:hAnsiTheme="majorHAnsi" w:cs="Play"/>
              </w:rPr>
              <w:t>Phase</w:t>
            </w:r>
          </w:p>
        </w:tc>
        <w:tc>
          <w:tcPr>
            <w:tcW w:w="1298" w:type="dxa"/>
            <w:tcBorders>
              <w:top w:val="single" w:sz="4" w:space="0" w:color="000000"/>
              <w:left w:val="single" w:sz="4" w:space="0" w:color="000000"/>
              <w:bottom w:val="single" w:sz="4" w:space="0" w:color="000000"/>
            </w:tcBorders>
          </w:tcPr>
          <w:p w14:paraId="7CBA67CD" w14:textId="77777777" w:rsidR="000B36E1" w:rsidRPr="00911BD5" w:rsidRDefault="00000000">
            <w:pPr>
              <w:rPr>
                <w:rFonts w:asciiTheme="majorHAnsi" w:eastAsia="Play" w:hAnsiTheme="majorHAnsi" w:cs="Play"/>
              </w:rPr>
            </w:pPr>
            <w:r w:rsidRPr="00911BD5">
              <w:rPr>
                <w:rFonts w:asciiTheme="majorHAnsi" w:eastAsia="Play" w:hAnsiTheme="majorHAnsi" w:cs="Play"/>
              </w:rPr>
              <w:t>Duration</w:t>
            </w:r>
          </w:p>
        </w:tc>
        <w:tc>
          <w:tcPr>
            <w:tcW w:w="2653" w:type="dxa"/>
            <w:tcBorders>
              <w:top w:val="single" w:sz="4" w:space="0" w:color="000000"/>
              <w:left w:val="single" w:sz="4" w:space="0" w:color="000000"/>
              <w:bottom w:val="single" w:sz="4" w:space="0" w:color="000000"/>
            </w:tcBorders>
          </w:tcPr>
          <w:p w14:paraId="162D16CB" w14:textId="77777777" w:rsidR="000B36E1" w:rsidRPr="00911BD5" w:rsidRDefault="00000000">
            <w:pPr>
              <w:rPr>
                <w:rFonts w:asciiTheme="majorHAnsi" w:eastAsia="Play" w:hAnsiTheme="majorHAnsi" w:cs="Play"/>
              </w:rPr>
            </w:pPr>
            <w:r w:rsidRPr="00911BD5">
              <w:rPr>
                <w:rFonts w:asciiTheme="majorHAnsi" w:eastAsia="Play" w:hAnsiTheme="majorHAnsi" w:cs="Play"/>
              </w:rPr>
              <w:t>Key Actions</w:t>
            </w:r>
          </w:p>
        </w:tc>
        <w:tc>
          <w:tcPr>
            <w:tcW w:w="2222" w:type="dxa"/>
            <w:tcBorders>
              <w:top w:val="single" w:sz="4" w:space="0" w:color="000000"/>
              <w:left w:val="single" w:sz="4" w:space="0" w:color="000000"/>
              <w:bottom w:val="single" w:sz="4" w:space="0" w:color="000000"/>
            </w:tcBorders>
          </w:tcPr>
          <w:p w14:paraId="5AD022C4" w14:textId="77777777" w:rsidR="000B36E1" w:rsidRPr="00911BD5" w:rsidRDefault="00000000">
            <w:pPr>
              <w:rPr>
                <w:rFonts w:asciiTheme="majorHAnsi" w:eastAsia="Play" w:hAnsiTheme="majorHAnsi" w:cs="Play"/>
              </w:rPr>
            </w:pPr>
            <w:r w:rsidRPr="00911BD5">
              <w:rPr>
                <w:rFonts w:asciiTheme="majorHAnsi" w:eastAsia="Play" w:hAnsiTheme="majorHAnsi" w:cs="Play"/>
              </w:rPr>
              <w:t>Critical Success Factor</w:t>
            </w:r>
          </w:p>
        </w:tc>
      </w:tr>
      <w:tr w:rsidR="000B36E1" w:rsidRPr="00911BD5" w14:paraId="53CD0E72" w14:textId="77777777">
        <w:trPr>
          <w:cantSplit/>
          <w:jc w:val="center"/>
        </w:trPr>
        <w:tc>
          <w:tcPr>
            <w:tcW w:w="2511" w:type="dxa"/>
            <w:tcBorders>
              <w:top w:val="single" w:sz="4" w:space="0" w:color="000000"/>
              <w:bottom w:val="single" w:sz="4" w:space="0" w:color="000000"/>
            </w:tcBorders>
          </w:tcPr>
          <w:p w14:paraId="13B02F8A"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Stakeholder Engagement</w:t>
            </w:r>
          </w:p>
        </w:tc>
        <w:tc>
          <w:tcPr>
            <w:tcW w:w="1298" w:type="dxa"/>
            <w:tcBorders>
              <w:top w:val="single" w:sz="4" w:space="0" w:color="000000"/>
              <w:left w:val="single" w:sz="4" w:space="0" w:color="000000"/>
              <w:bottom w:val="single" w:sz="4" w:space="0" w:color="000000"/>
            </w:tcBorders>
          </w:tcPr>
          <w:p w14:paraId="691C84CA" w14:textId="05A251F8" w:rsidR="000B36E1" w:rsidRPr="00911BD5" w:rsidRDefault="008E5BD2">
            <w:pPr>
              <w:rPr>
                <w:rFonts w:asciiTheme="majorHAnsi" w:eastAsia="Play" w:hAnsiTheme="majorHAnsi" w:cs="Play"/>
              </w:rPr>
            </w:pPr>
            <w:r w:rsidRPr="00911BD5">
              <w:rPr>
                <w:rFonts w:asciiTheme="majorHAnsi" w:eastAsia="Play" w:hAnsiTheme="majorHAnsi" w:cs="Play"/>
              </w:rPr>
              <w:t>2 Months</w:t>
            </w:r>
          </w:p>
        </w:tc>
        <w:tc>
          <w:tcPr>
            <w:tcW w:w="2653" w:type="dxa"/>
            <w:tcBorders>
              <w:top w:val="single" w:sz="4" w:space="0" w:color="000000"/>
              <w:left w:val="single" w:sz="4" w:space="0" w:color="000000"/>
              <w:bottom w:val="single" w:sz="4" w:space="0" w:color="000000"/>
            </w:tcBorders>
          </w:tcPr>
          <w:p w14:paraId="061F3A6A" w14:textId="6F8E0523" w:rsidR="000B36E1" w:rsidRPr="00911BD5" w:rsidRDefault="008E5BD2">
            <w:pPr>
              <w:rPr>
                <w:rFonts w:asciiTheme="majorHAnsi" w:eastAsia="Play" w:hAnsiTheme="majorHAnsi" w:cs="Play"/>
              </w:rPr>
            </w:pPr>
            <w:r w:rsidRPr="00911BD5">
              <w:rPr>
                <w:rFonts w:asciiTheme="majorHAnsi" w:eastAsia="Play" w:hAnsiTheme="majorHAnsi" w:cs="Play"/>
              </w:rPr>
              <w:t>Conduct roundtables with municipal IT departments, school directors, and repair NGOs.</w:t>
            </w:r>
          </w:p>
        </w:tc>
        <w:tc>
          <w:tcPr>
            <w:tcW w:w="2222" w:type="dxa"/>
            <w:tcBorders>
              <w:top w:val="single" w:sz="4" w:space="0" w:color="000000"/>
              <w:left w:val="single" w:sz="4" w:space="0" w:color="000000"/>
              <w:bottom w:val="single" w:sz="4" w:space="0" w:color="000000"/>
            </w:tcBorders>
          </w:tcPr>
          <w:p w14:paraId="77109FBD" w14:textId="1C05190B" w:rsidR="000B36E1" w:rsidRPr="00911BD5" w:rsidRDefault="008E5BD2">
            <w:pPr>
              <w:rPr>
                <w:rFonts w:asciiTheme="majorHAnsi" w:eastAsia="Play" w:hAnsiTheme="majorHAnsi" w:cs="Play"/>
              </w:rPr>
            </w:pPr>
            <w:r w:rsidRPr="00911BD5">
              <w:rPr>
                <w:rFonts w:asciiTheme="majorHAnsi" w:eastAsia="Play" w:hAnsiTheme="majorHAnsi" w:cs="Play"/>
              </w:rPr>
              <w:t>Early institutional buy-in and mapping of available ICT stock.</w:t>
            </w:r>
          </w:p>
        </w:tc>
      </w:tr>
      <w:tr w:rsidR="000B36E1" w:rsidRPr="00911BD5" w14:paraId="647E72A5" w14:textId="77777777">
        <w:trPr>
          <w:cantSplit/>
          <w:jc w:val="center"/>
        </w:trPr>
        <w:tc>
          <w:tcPr>
            <w:tcW w:w="2511" w:type="dxa"/>
            <w:tcBorders>
              <w:top w:val="single" w:sz="4" w:space="0" w:color="000000"/>
              <w:bottom w:val="single" w:sz="4" w:space="0" w:color="000000"/>
            </w:tcBorders>
          </w:tcPr>
          <w:p w14:paraId="7CAFFDC2"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Setup &amp; Training</w:t>
            </w:r>
          </w:p>
        </w:tc>
        <w:tc>
          <w:tcPr>
            <w:tcW w:w="1298" w:type="dxa"/>
            <w:tcBorders>
              <w:top w:val="single" w:sz="4" w:space="0" w:color="000000"/>
              <w:left w:val="single" w:sz="4" w:space="0" w:color="000000"/>
              <w:bottom w:val="single" w:sz="4" w:space="0" w:color="000000"/>
            </w:tcBorders>
          </w:tcPr>
          <w:p w14:paraId="06A6ED39" w14:textId="1BE8244A" w:rsidR="000B36E1" w:rsidRPr="00911BD5" w:rsidRDefault="008E5BD2">
            <w:pPr>
              <w:rPr>
                <w:rFonts w:asciiTheme="majorHAnsi" w:eastAsia="Play" w:hAnsiTheme="majorHAnsi" w:cs="Play"/>
              </w:rPr>
            </w:pPr>
            <w:r w:rsidRPr="00911BD5">
              <w:rPr>
                <w:rFonts w:asciiTheme="majorHAnsi" w:eastAsia="Play" w:hAnsiTheme="majorHAnsi" w:cs="Play"/>
              </w:rPr>
              <w:t>2 Months</w:t>
            </w:r>
          </w:p>
        </w:tc>
        <w:tc>
          <w:tcPr>
            <w:tcW w:w="2653" w:type="dxa"/>
            <w:tcBorders>
              <w:top w:val="single" w:sz="4" w:space="0" w:color="000000"/>
              <w:left w:val="single" w:sz="4" w:space="0" w:color="000000"/>
              <w:bottom w:val="single" w:sz="4" w:space="0" w:color="000000"/>
            </w:tcBorders>
          </w:tcPr>
          <w:p w14:paraId="4CE74CFE" w14:textId="2A3C4986" w:rsidR="000B36E1" w:rsidRPr="00911BD5" w:rsidRDefault="008E5BD2">
            <w:pPr>
              <w:rPr>
                <w:rFonts w:asciiTheme="majorHAnsi" w:eastAsia="Play" w:hAnsiTheme="majorHAnsi" w:cs="Play"/>
              </w:rPr>
            </w:pPr>
            <w:r w:rsidRPr="00911BD5">
              <w:rPr>
                <w:rFonts w:asciiTheme="majorHAnsi" w:eastAsia="Play" w:hAnsiTheme="majorHAnsi" w:cs="Play"/>
              </w:rPr>
              <w:t>Perform legal feasibility assessment; develop the digital platform or set up school laboratory hubs.</w:t>
            </w:r>
          </w:p>
        </w:tc>
        <w:tc>
          <w:tcPr>
            <w:tcW w:w="2222" w:type="dxa"/>
            <w:tcBorders>
              <w:top w:val="single" w:sz="4" w:space="0" w:color="000000"/>
              <w:left w:val="single" w:sz="4" w:space="0" w:color="000000"/>
              <w:bottom w:val="single" w:sz="4" w:space="0" w:color="000000"/>
            </w:tcBorders>
          </w:tcPr>
          <w:p w14:paraId="60818955" w14:textId="045F818F" w:rsidR="000B36E1" w:rsidRPr="00911BD5" w:rsidRDefault="008E5BD2">
            <w:pPr>
              <w:rPr>
                <w:rFonts w:asciiTheme="majorHAnsi" w:eastAsia="Play" w:hAnsiTheme="majorHAnsi" w:cs="Play"/>
              </w:rPr>
            </w:pPr>
            <w:r w:rsidRPr="00911BD5">
              <w:rPr>
                <w:rFonts w:asciiTheme="majorHAnsi" w:eastAsia="Play" w:hAnsiTheme="majorHAnsi" w:cs="Play"/>
              </w:rPr>
              <w:t>Adapting the model to local procurement acts (e.g., Circular Ownership vs. Eco-renting).</w:t>
            </w:r>
          </w:p>
        </w:tc>
      </w:tr>
      <w:tr w:rsidR="000B36E1" w:rsidRPr="00911BD5" w14:paraId="4AFDF7B8" w14:textId="77777777">
        <w:trPr>
          <w:cantSplit/>
          <w:jc w:val="center"/>
        </w:trPr>
        <w:tc>
          <w:tcPr>
            <w:tcW w:w="2511" w:type="dxa"/>
            <w:tcBorders>
              <w:top w:val="single" w:sz="4" w:space="0" w:color="000000"/>
              <w:bottom w:val="single" w:sz="4" w:space="0" w:color="000000"/>
            </w:tcBorders>
          </w:tcPr>
          <w:p w14:paraId="62010BF1"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Pilot Implementation</w:t>
            </w:r>
          </w:p>
        </w:tc>
        <w:tc>
          <w:tcPr>
            <w:tcW w:w="1298" w:type="dxa"/>
            <w:tcBorders>
              <w:top w:val="single" w:sz="4" w:space="0" w:color="000000"/>
              <w:left w:val="single" w:sz="4" w:space="0" w:color="000000"/>
              <w:bottom w:val="single" w:sz="4" w:space="0" w:color="000000"/>
            </w:tcBorders>
          </w:tcPr>
          <w:p w14:paraId="5D33FAE2" w14:textId="5F7F462E" w:rsidR="000B36E1" w:rsidRPr="00911BD5" w:rsidRDefault="006709C9">
            <w:pPr>
              <w:rPr>
                <w:rFonts w:asciiTheme="majorHAnsi" w:eastAsia="Play" w:hAnsiTheme="majorHAnsi" w:cs="Play"/>
              </w:rPr>
            </w:pPr>
            <w:r w:rsidRPr="00911BD5">
              <w:rPr>
                <w:rFonts w:asciiTheme="majorHAnsi" w:eastAsia="Play" w:hAnsiTheme="majorHAnsi" w:cs="Play"/>
              </w:rPr>
              <w:t>4</w:t>
            </w:r>
            <w:r w:rsidR="008E5BD2" w:rsidRPr="00911BD5">
              <w:rPr>
                <w:rFonts w:asciiTheme="majorHAnsi" w:eastAsia="Play" w:hAnsiTheme="majorHAnsi" w:cs="Play"/>
              </w:rPr>
              <w:t xml:space="preserve"> Months</w:t>
            </w:r>
          </w:p>
        </w:tc>
        <w:tc>
          <w:tcPr>
            <w:tcW w:w="2653" w:type="dxa"/>
            <w:tcBorders>
              <w:top w:val="single" w:sz="4" w:space="0" w:color="000000"/>
              <w:left w:val="single" w:sz="4" w:space="0" w:color="000000"/>
              <w:bottom w:val="single" w:sz="4" w:space="0" w:color="000000"/>
            </w:tcBorders>
          </w:tcPr>
          <w:p w14:paraId="2E2CA43E" w14:textId="175B2EDB" w:rsidR="000B36E1" w:rsidRPr="00911BD5" w:rsidRDefault="008E5BD2">
            <w:pPr>
              <w:rPr>
                <w:rFonts w:asciiTheme="majorHAnsi" w:eastAsia="Play" w:hAnsiTheme="majorHAnsi" w:cs="Play"/>
              </w:rPr>
            </w:pPr>
            <w:r w:rsidRPr="00911BD5">
              <w:rPr>
                <w:rFonts w:asciiTheme="majorHAnsi" w:eastAsia="Play" w:hAnsiTheme="majorHAnsi" w:cs="Play"/>
              </w:rPr>
              <w:t>Start selective census of devices; perform certified data wiping and hardware refurbishment (SSD upgrades).</w:t>
            </w:r>
          </w:p>
        </w:tc>
        <w:tc>
          <w:tcPr>
            <w:tcW w:w="2222" w:type="dxa"/>
            <w:tcBorders>
              <w:top w:val="single" w:sz="4" w:space="0" w:color="000000"/>
              <w:left w:val="single" w:sz="4" w:space="0" w:color="000000"/>
              <w:bottom w:val="single" w:sz="4" w:space="0" w:color="000000"/>
            </w:tcBorders>
          </w:tcPr>
          <w:p w14:paraId="01A5A6D5" w14:textId="4B401F11" w:rsidR="000B36E1" w:rsidRPr="00911BD5" w:rsidRDefault="008E5BD2">
            <w:pPr>
              <w:rPr>
                <w:rFonts w:asciiTheme="majorHAnsi" w:eastAsia="Play" w:hAnsiTheme="majorHAnsi" w:cs="Play"/>
              </w:rPr>
            </w:pPr>
            <w:r w:rsidRPr="00911BD5">
              <w:rPr>
                <w:rFonts w:asciiTheme="majorHAnsi" w:eastAsia="Play" w:hAnsiTheme="majorHAnsi" w:cs="Play"/>
              </w:rPr>
              <w:t>Adherence to standardized technical checklists and data sanitization protocols.</w:t>
            </w:r>
          </w:p>
        </w:tc>
      </w:tr>
      <w:tr w:rsidR="000B36E1" w:rsidRPr="00911BD5" w14:paraId="56C2E435" w14:textId="77777777">
        <w:trPr>
          <w:cantSplit/>
          <w:jc w:val="center"/>
        </w:trPr>
        <w:tc>
          <w:tcPr>
            <w:tcW w:w="2511" w:type="dxa"/>
            <w:tcBorders>
              <w:top w:val="single" w:sz="4" w:space="0" w:color="000000"/>
              <w:bottom w:val="single" w:sz="4" w:space="0" w:color="000000"/>
            </w:tcBorders>
          </w:tcPr>
          <w:p w14:paraId="0C152C7C"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Full Scale</w:t>
            </w:r>
          </w:p>
        </w:tc>
        <w:tc>
          <w:tcPr>
            <w:tcW w:w="1298" w:type="dxa"/>
            <w:tcBorders>
              <w:top w:val="single" w:sz="4" w:space="0" w:color="000000"/>
              <w:left w:val="single" w:sz="4" w:space="0" w:color="000000"/>
              <w:bottom w:val="single" w:sz="4" w:space="0" w:color="000000"/>
            </w:tcBorders>
          </w:tcPr>
          <w:p w14:paraId="2358396F" w14:textId="6182C635" w:rsidR="000B36E1" w:rsidRPr="00911BD5" w:rsidRDefault="008E5BD2">
            <w:pPr>
              <w:rPr>
                <w:rFonts w:asciiTheme="majorHAnsi" w:eastAsia="Play" w:hAnsiTheme="majorHAnsi" w:cs="Play"/>
              </w:rPr>
            </w:pPr>
            <w:r w:rsidRPr="00911BD5">
              <w:rPr>
                <w:rFonts w:asciiTheme="majorHAnsi" w:eastAsia="Play" w:hAnsiTheme="majorHAnsi" w:cs="Play"/>
              </w:rPr>
              <w:t>Ongoing</w:t>
            </w:r>
          </w:p>
        </w:tc>
        <w:tc>
          <w:tcPr>
            <w:tcW w:w="2653" w:type="dxa"/>
            <w:tcBorders>
              <w:top w:val="single" w:sz="4" w:space="0" w:color="000000"/>
              <w:left w:val="single" w:sz="4" w:space="0" w:color="000000"/>
              <w:bottom w:val="single" w:sz="4" w:space="0" w:color="000000"/>
            </w:tcBorders>
          </w:tcPr>
          <w:p w14:paraId="0AA02D7F" w14:textId="42EDA58F" w:rsidR="000B36E1" w:rsidRPr="00911BD5" w:rsidRDefault="008E5BD2">
            <w:pPr>
              <w:rPr>
                <w:rFonts w:asciiTheme="majorHAnsi" w:eastAsia="Play" w:hAnsiTheme="majorHAnsi" w:cs="Play"/>
              </w:rPr>
            </w:pPr>
            <w:r w:rsidRPr="00911BD5">
              <w:rPr>
                <w:rFonts w:asciiTheme="majorHAnsi" w:eastAsia="Play" w:hAnsiTheme="majorHAnsi" w:cs="Play"/>
              </w:rPr>
              <w:t>Promote platform/hub results; integrate the model into Regional Waste Prevention Plans.</w:t>
            </w:r>
          </w:p>
        </w:tc>
        <w:tc>
          <w:tcPr>
            <w:tcW w:w="2222" w:type="dxa"/>
            <w:tcBorders>
              <w:top w:val="single" w:sz="4" w:space="0" w:color="000000"/>
              <w:left w:val="single" w:sz="4" w:space="0" w:color="000000"/>
              <w:bottom w:val="single" w:sz="4" w:space="0" w:color="000000"/>
            </w:tcBorders>
          </w:tcPr>
          <w:p w14:paraId="3DFE1044" w14:textId="0716E1F3" w:rsidR="000B36E1" w:rsidRPr="00911BD5" w:rsidRDefault="008E5BD2">
            <w:pPr>
              <w:rPr>
                <w:rFonts w:asciiTheme="majorHAnsi" w:eastAsia="Play" w:hAnsiTheme="majorHAnsi" w:cs="Play"/>
              </w:rPr>
            </w:pPr>
            <w:r w:rsidRPr="00911BD5">
              <w:rPr>
                <w:rFonts w:asciiTheme="majorHAnsi" w:eastAsia="Play" w:hAnsiTheme="majorHAnsi" w:cs="Play"/>
              </w:rPr>
              <w:t>Formalizing the network via regional decrees or municipal ordinances.</w:t>
            </w:r>
          </w:p>
        </w:tc>
      </w:tr>
      <w:tr w:rsidR="000B36E1" w:rsidRPr="00911BD5" w14:paraId="1940129F" w14:textId="77777777">
        <w:trPr>
          <w:cantSplit/>
          <w:jc w:val="center"/>
        </w:trPr>
        <w:tc>
          <w:tcPr>
            <w:tcW w:w="2511" w:type="dxa"/>
            <w:tcBorders>
              <w:top w:val="single" w:sz="4" w:space="0" w:color="000000"/>
              <w:bottom w:val="single" w:sz="4" w:space="0" w:color="000000"/>
            </w:tcBorders>
          </w:tcPr>
          <w:p w14:paraId="0DB9A77D"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Total</w:t>
            </w:r>
          </w:p>
        </w:tc>
        <w:tc>
          <w:tcPr>
            <w:tcW w:w="1298" w:type="dxa"/>
            <w:tcBorders>
              <w:top w:val="single" w:sz="4" w:space="0" w:color="000000"/>
              <w:left w:val="single" w:sz="4" w:space="0" w:color="000000"/>
              <w:bottom w:val="single" w:sz="4" w:space="0" w:color="000000"/>
            </w:tcBorders>
          </w:tcPr>
          <w:p w14:paraId="265B1EE8" w14:textId="09B78DE8" w:rsidR="000B36E1" w:rsidRPr="00911BD5" w:rsidRDefault="006709C9" w:rsidP="008E5BD2">
            <w:pPr>
              <w:rPr>
                <w:rFonts w:asciiTheme="majorHAnsi" w:eastAsia="Play" w:hAnsiTheme="majorHAnsi" w:cs="Play"/>
              </w:rPr>
            </w:pPr>
            <w:r w:rsidRPr="00911BD5">
              <w:rPr>
                <w:rFonts w:asciiTheme="majorHAnsi" w:eastAsia="Play" w:hAnsiTheme="majorHAnsi" w:cs="Play"/>
                <w:b/>
                <w:bCs/>
              </w:rPr>
              <w:t>8</w:t>
            </w:r>
            <w:r w:rsidR="008E5BD2" w:rsidRPr="00911BD5">
              <w:rPr>
                <w:rFonts w:asciiTheme="majorHAnsi" w:eastAsia="Play" w:hAnsiTheme="majorHAnsi" w:cs="Play"/>
                <w:b/>
                <w:bCs/>
              </w:rPr>
              <w:t xml:space="preserve"> Months</w:t>
            </w:r>
          </w:p>
        </w:tc>
        <w:tc>
          <w:tcPr>
            <w:tcW w:w="2653" w:type="dxa"/>
            <w:tcBorders>
              <w:top w:val="single" w:sz="4" w:space="0" w:color="000000"/>
              <w:left w:val="single" w:sz="4" w:space="0" w:color="000000"/>
              <w:bottom w:val="single" w:sz="4" w:space="0" w:color="000000"/>
            </w:tcBorders>
          </w:tcPr>
          <w:p w14:paraId="10BD827A" w14:textId="77777777" w:rsidR="000B36E1" w:rsidRPr="00911BD5" w:rsidRDefault="00000000">
            <w:pPr>
              <w:rPr>
                <w:rFonts w:asciiTheme="majorHAnsi" w:eastAsia="Play" w:hAnsiTheme="majorHAnsi" w:cs="Play"/>
              </w:rPr>
            </w:pPr>
            <w:r w:rsidRPr="00911BD5">
              <w:rPr>
                <w:rFonts w:asciiTheme="majorHAnsi" w:eastAsia="Play" w:hAnsiTheme="majorHAnsi" w:cs="Play"/>
              </w:rPr>
              <w:t>—</w:t>
            </w:r>
          </w:p>
        </w:tc>
        <w:tc>
          <w:tcPr>
            <w:tcW w:w="2222" w:type="dxa"/>
            <w:tcBorders>
              <w:top w:val="single" w:sz="4" w:space="0" w:color="000000"/>
              <w:left w:val="single" w:sz="4" w:space="0" w:color="000000"/>
              <w:bottom w:val="single" w:sz="4" w:space="0" w:color="000000"/>
            </w:tcBorders>
          </w:tcPr>
          <w:p w14:paraId="51432DC7" w14:textId="77777777" w:rsidR="000B36E1" w:rsidRPr="00911BD5" w:rsidRDefault="00000000">
            <w:pPr>
              <w:rPr>
                <w:rFonts w:asciiTheme="majorHAnsi" w:eastAsia="Play" w:hAnsiTheme="majorHAnsi" w:cs="Play"/>
              </w:rPr>
            </w:pPr>
            <w:r w:rsidRPr="00911BD5">
              <w:rPr>
                <w:rFonts w:asciiTheme="majorHAnsi" w:eastAsia="Play" w:hAnsiTheme="majorHAnsi" w:cs="Play"/>
              </w:rPr>
              <w:t>—</w:t>
            </w:r>
          </w:p>
        </w:tc>
      </w:tr>
    </w:tbl>
    <w:p w14:paraId="4A1723BF" w14:textId="77777777" w:rsidR="000B36E1" w:rsidRPr="00911BD5" w:rsidRDefault="000B36E1">
      <w:pPr>
        <w:rPr>
          <w:rFonts w:asciiTheme="majorHAnsi" w:eastAsia="Play" w:hAnsiTheme="majorHAnsi" w:cs="Play"/>
        </w:rPr>
      </w:pPr>
    </w:p>
    <w:p w14:paraId="7D1E49C2" w14:textId="77777777" w:rsidR="000B36E1" w:rsidRPr="00911BD5" w:rsidRDefault="007C558F">
      <w:pPr>
        <w:rPr>
          <w:rFonts w:asciiTheme="majorHAnsi" w:eastAsia="Play" w:hAnsiTheme="majorHAnsi" w:cs="Play"/>
        </w:rPr>
      </w:pPr>
      <w:r>
        <w:rPr>
          <w:rFonts w:asciiTheme="majorHAnsi" w:hAnsiTheme="majorHAnsi"/>
          <w:noProof/>
        </w:rPr>
        <w:lastRenderedPageBreak/>
        <w:pict w14:anchorId="4B0FA12D">
          <v:rect id="_x0000_i1028" alt="" style="width:353.25pt;height:.05pt;mso-width-percent:0;mso-height-percent:0;mso-width-percent:0;mso-height-percent:0" o:hrpct="733" o:hralign="center" o:hrstd="t" o:hr="t" fillcolor="#a0a0a0" stroked="f"/>
        </w:pict>
      </w:r>
    </w:p>
    <w:p w14:paraId="0E009BE1" w14:textId="77777777" w:rsidR="000B36E1" w:rsidRPr="00911BD5" w:rsidRDefault="00000000">
      <w:pPr>
        <w:spacing w:before="240" w:line="271" w:lineRule="auto"/>
        <w:rPr>
          <w:rFonts w:asciiTheme="majorHAnsi" w:eastAsia="Play" w:hAnsiTheme="majorHAnsi" w:cs="Play"/>
        </w:rPr>
      </w:pPr>
      <w:bookmarkStart w:id="23" w:name="bookmark=id.t1ji1o6f5yrp" w:colFirst="0" w:colLast="0"/>
      <w:bookmarkEnd w:id="23"/>
      <w:r w:rsidRPr="00911BD5">
        <w:rPr>
          <w:rFonts w:asciiTheme="majorHAnsi" w:eastAsia="Play" w:hAnsiTheme="majorHAnsi" w:cs="Play"/>
          <w:b/>
          <w:bCs/>
          <w:sz w:val="42"/>
          <w:szCs w:val="42"/>
        </w:rPr>
        <w:t>SECTION 8: GOVERNANCE &amp; POLICY RECOMMENDATIONS</w:t>
      </w:r>
    </w:p>
    <w:p w14:paraId="4868B8B7" w14:textId="7479BB8E" w:rsidR="000B36E1" w:rsidRPr="00911BD5" w:rsidRDefault="00000000" w:rsidP="006709C9">
      <w:pPr>
        <w:pStyle w:val="Paragrafoelenco"/>
        <w:numPr>
          <w:ilvl w:val="1"/>
          <w:numId w:val="21"/>
        </w:numPr>
        <w:spacing w:before="240" w:line="271" w:lineRule="auto"/>
        <w:rPr>
          <w:rFonts w:asciiTheme="majorHAnsi" w:eastAsia="Play" w:hAnsiTheme="majorHAnsi" w:cs="Play"/>
        </w:rPr>
      </w:pPr>
      <w:bookmarkStart w:id="24" w:name="bookmark=id.y6gs9j34n27q" w:colFirst="0" w:colLast="0"/>
      <w:bookmarkEnd w:id="24"/>
      <w:r w:rsidRPr="00911BD5">
        <w:rPr>
          <w:rFonts w:asciiTheme="majorHAnsi" w:eastAsia="Play" w:hAnsiTheme="majorHAnsi" w:cs="Play"/>
          <w:b/>
          <w:bCs/>
          <w:sz w:val="33"/>
          <w:szCs w:val="33"/>
        </w:rPr>
        <w:t>Legislation/Policy Support Needed</w:t>
      </w:r>
    </w:p>
    <w:p w14:paraId="08DCE45B" w14:textId="77777777" w:rsidR="006709C9" w:rsidRPr="00911BD5" w:rsidRDefault="006709C9" w:rsidP="006709C9">
      <w:pPr>
        <w:numPr>
          <w:ilvl w:val="0"/>
          <w:numId w:val="20"/>
        </w:numPr>
        <w:spacing w:after="210"/>
        <w:rPr>
          <w:rFonts w:asciiTheme="majorHAnsi" w:eastAsia="Play" w:hAnsiTheme="majorHAnsi" w:cs="Play"/>
          <w:b/>
          <w:bCs/>
          <w:lang w:val="en-US"/>
        </w:rPr>
      </w:pPr>
      <w:r w:rsidRPr="00911BD5">
        <w:rPr>
          <w:rFonts w:asciiTheme="majorHAnsi" w:eastAsia="Play" w:hAnsiTheme="majorHAnsi" w:cs="Play"/>
          <w:b/>
          <w:bCs/>
          <w:lang w:val="en-US"/>
        </w:rPr>
        <w:t xml:space="preserve">[Policy 1]: Regulatory Reform of National Public Procurement Acts. </w:t>
      </w:r>
    </w:p>
    <w:p w14:paraId="269F4D3B" w14:textId="4EC6EAC2" w:rsidR="006709C9" w:rsidRPr="00911BD5" w:rsidRDefault="006709C9" w:rsidP="006709C9">
      <w:pPr>
        <w:spacing w:after="210"/>
        <w:rPr>
          <w:rFonts w:asciiTheme="majorHAnsi" w:eastAsia="Play" w:hAnsiTheme="majorHAnsi" w:cs="Play"/>
          <w:b/>
          <w:bCs/>
          <w:lang w:val="en-US"/>
        </w:rPr>
      </w:pPr>
      <w:r w:rsidRPr="00911BD5">
        <w:rPr>
          <w:rFonts w:asciiTheme="majorHAnsi" w:eastAsia="Play" w:hAnsiTheme="majorHAnsi" w:cs="Play"/>
          <w:lang w:val="en-US"/>
        </w:rPr>
        <w:t>Concrete requirement:</w:t>
      </w:r>
      <w:r w:rsidRPr="00911BD5">
        <w:rPr>
          <w:rFonts w:asciiTheme="majorHAnsi" w:eastAsia="Play" w:hAnsiTheme="majorHAnsi" w:cs="Play"/>
          <w:b/>
          <w:bCs/>
          <w:lang w:val="en-US"/>
        </w:rPr>
        <w:t xml:space="preserve"> </w:t>
      </w:r>
      <w:r w:rsidRPr="00911BD5">
        <w:rPr>
          <w:rFonts w:asciiTheme="majorHAnsi" w:eastAsia="Play" w:hAnsiTheme="majorHAnsi" w:cs="Play"/>
          <w:lang w:val="en-US"/>
        </w:rPr>
        <w:t>Amend national procurement legislation (such as the Bulgarian Public Procurement Act) to explicitly accommodate "Product-as-a-Service" or eco-renting models. This must clarify legal uncertainties regarding ownership, liability for maintenance, and the accounting treatment (CAPEX vs. OPEX) for public bodies when they do not own the hardware.</w:t>
      </w:r>
    </w:p>
    <w:p w14:paraId="486295BE" w14:textId="77777777" w:rsidR="006709C9" w:rsidRPr="00911BD5" w:rsidRDefault="006709C9" w:rsidP="006709C9">
      <w:pPr>
        <w:numPr>
          <w:ilvl w:val="0"/>
          <w:numId w:val="20"/>
        </w:numPr>
        <w:spacing w:after="210"/>
        <w:rPr>
          <w:rFonts w:asciiTheme="majorHAnsi" w:eastAsia="Play" w:hAnsiTheme="majorHAnsi" w:cs="Play"/>
          <w:b/>
          <w:bCs/>
          <w:lang w:val="en-US"/>
        </w:rPr>
      </w:pPr>
      <w:r w:rsidRPr="00911BD5">
        <w:rPr>
          <w:rFonts w:asciiTheme="majorHAnsi" w:eastAsia="Play" w:hAnsiTheme="majorHAnsi" w:cs="Play"/>
          <w:b/>
          <w:bCs/>
          <w:lang w:val="en-US"/>
        </w:rPr>
        <w:t>[Policy 2]: Mandatory Integration of Reuse Targets in Regional Waste Plans.</w:t>
      </w:r>
    </w:p>
    <w:p w14:paraId="0917748A" w14:textId="7C7F5447" w:rsidR="006709C9" w:rsidRPr="00911BD5" w:rsidRDefault="006709C9" w:rsidP="006709C9">
      <w:pPr>
        <w:spacing w:after="210"/>
        <w:rPr>
          <w:rFonts w:asciiTheme="majorHAnsi" w:eastAsia="Play" w:hAnsiTheme="majorHAnsi" w:cs="Play"/>
          <w:lang w:val="en-US"/>
        </w:rPr>
      </w:pPr>
      <w:r w:rsidRPr="00911BD5">
        <w:rPr>
          <w:rFonts w:asciiTheme="majorHAnsi" w:eastAsia="Play" w:hAnsiTheme="majorHAnsi" w:cs="Play"/>
          <w:lang w:val="en-US"/>
        </w:rPr>
        <w:t>Concrete requirement: Formally include specific reuse and refurbishment targets for institutional ICT assets within Regional or Local Waste Prevention Programmes. Policy should mandate that public entities screen decommissioned equipment for "Dual Use" potential (refurbishment) before it is legally classified as waste.</w:t>
      </w:r>
    </w:p>
    <w:p w14:paraId="63DE95CB" w14:textId="77777777" w:rsidR="006709C9" w:rsidRPr="00911BD5" w:rsidRDefault="006709C9" w:rsidP="006709C9">
      <w:pPr>
        <w:numPr>
          <w:ilvl w:val="0"/>
          <w:numId w:val="20"/>
        </w:numPr>
        <w:spacing w:after="210"/>
        <w:rPr>
          <w:rFonts w:asciiTheme="majorHAnsi" w:eastAsia="Play" w:hAnsiTheme="majorHAnsi" w:cs="Play"/>
          <w:b/>
          <w:bCs/>
          <w:lang w:val="en-US"/>
        </w:rPr>
      </w:pPr>
      <w:r w:rsidRPr="00911BD5">
        <w:rPr>
          <w:rFonts w:asciiTheme="majorHAnsi" w:eastAsia="Play" w:hAnsiTheme="majorHAnsi" w:cs="Play"/>
          <w:b/>
          <w:bCs/>
          <w:lang w:val="en-US"/>
        </w:rPr>
        <w:t>[Policy 3]: Establishment of Standardized Certified Data Sanitization Protocols.</w:t>
      </w:r>
    </w:p>
    <w:p w14:paraId="6D256768" w14:textId="2580401B" w:rsidR="006709C9" w:rsidRPr="00911BD5" w:rsidRDefault="006709C9" w:rsidP="006709C9">
      <w:pPr>
        <w:spacing w:after="210"/>
        <w:rPr>
          <w:rFonts w:asciiTheme="majorHAnsi" w:eastAsia="Play" w:hAnsiTheme="majorHAnsi" w:cs="Play"/>
          <w:lang w:val="en-US"/>
        </w:rPr>
      </w:pPr>
      <w:r w:rsidRPr="00911BD5">
        <w:rPr>
          <w:rFonts w:asciiTheme="majorHAnsi" w:eastAsia="Play" w:hAnsiTheme="majorHAnsi" w:cs="Play"/>
          <w:lang w:val="en-US"/>
        </w:rPr>
        <w:t>Concrete requirement: Create legally recognized, standardized procedures for certified data destruction on decommissioned institutional hardware. This removes the administrative fear of data leaks, which currently acts as a primary barrier preventing public offices from transferring assets to schools or NGOs.</w:t>
      </w:r>
    </w:p>
    <w:p w14:paraId="4EFCF8BE" w14:textId="77777777" w:rsidR="006709C9" w:rsidRPr="00911BD5" w:rsidRDefault="006709C9" w:rsidP="006709C9">
      <w:pPr>
        <w:numPr>
          <w:ilvl w:val="0"/>
          <w:numId w:val="20"/>
        </w:numPr>
        <w:spacing w:after="210"/>
        <w:rPr>
          <w:rFonts w:asciiTheme="majorHAnsi" w:eastAsia="Play" w:hAnsiTheme="majorHAnsi" w:cs="Play"/>
          <w:b/>
          <w:bCs/>
          <w:lang w:val="en-US"/>
        </w:rPr>
      </w:pPr>
      <w:r w:rsidRPr="00911BD5">
        <w:rPr>
          <w:rFonts w:asciiTheme="majorHAnsi" w:eastAsia="Play" w:hAnsiTheme="majorHAnsi" w:cs="Play"/>
          <w:b/>
          <w:bCs/>
          <w:lang w:val="en-US"/>
        </w:rPr>
        <w:t>[Policy 4]: Financial Stimuli and Support Services for Circular Procurement.</w:t>
      </w:r>
    </w:p>
    <w:p w14:paraId="59DF6385" w14:textId="47460A77" w:rsidR="006709C9" w:rsidRPr="00911BD5" w:rsidRDefault="006709C9" w:rsidP="006709C9">
      <w:pPr>
        <w:spacing w:after="210"/>
        <w:rPr>
          <w:rFonts w:asciiTheme="majorHAnsi" w:eastAsia="Play" w:hAnsiTheme="majorHAnsi" w:cs="Play"/>
          <w:lang w:val="en-US"/>
        </w:rPr>
      </w:pPr>
      <w:r w:rsidRPr="00911BD5">
        <w:rPr>
          <w:rFonts w:asciiTheme="majorHAnsi" w:eastAsia="Play" w:hAnsiTheme="majorHAnsi" w:cs="Play"/>
          <w:lang w:val="en-US"/>
        </w:rPr>
        <w:t>Concrete requirement: Implement financial incentives for companies that exceed minimum environmental requirements in tenders and establish centralized databases for "green" requirements and eco-labels to support small municipalities.</w:t>
      </w:r>
    </w:p>
    <w:p w14:paraId="1DBBEDB0"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b/>
          <w:bCs/>
        </w:rPr>
        <w:t>Current status in pilot territories:</w:t>
      </w:r>
      <w:r w:rsidRPr="00911BD5">
        <w:rPr>
          <w:rFonts w:asciiTheme="majorHAnsi" w:eastAsia="Play" w:hAnsiTheme="majorHAnsi" w:cs="Play"/>
        </w:rPr>
        <w:t xml:space="preserve"> [Which territories have this in place? Which need to develop it?]</w:t>
      </w:r>
    </w:p>
    <w:p w14:paraId="150303DC" w14:textId="77777777" w:rsidR="006709C9" w:rsidRPr="00911BD5" w:rsidRDefault="006709C9" w:rsidP="006709C9">
      <w:pPr>
        <w:numPr>
          <w:ilvl w:val="0"/>
          <w:numId w:val="22"/>
        </w:numPr>
        <w:spacing w:after="210"/>
        <w:rPr>
          <w:rFonts w:asciiTheme="majorHAnsi" w:eastAsia="Play" w:hAnsiTheme="majorHAnsi" w:cs="Play"/>
          <w:lang w:val="en-US"/>
        </w:rPr>
      </w:pPr>
      <w:r w:rsidRPr="00911BD5">
        <w:rPr>
          <w:rFonts w:asciiTheme="majorHAnsi" w:eastAsia="Play" w:hAnsiTheme="majorHAnsi" w:cs="Play"/>
          <w:b/>
          <w:bCs/>
          <w:lang w:val="en-US"/>
        </w:rPr>
        <w:t>Italy (Marche):</w:t>
      </w:r>
      <w:r w:rsidRPr="00911BD5">
        <w:rPr>
          <w:rFonts w:asciiTheme="majorHAnsi" w:eastAsia="Play" w:hAnsiTheme="majorHAnsi" w:cs="Play"/>
          <w:lang w:val="en-US"/>
        </w:rPr>
        <w:t xml:space="preserve"> Advanced. Circular practices have already been solidified into an Action Plan within the Regional Waste Prevention Programme. Policy endorsement has been achieved where regional rules for the Purchasing Office (Economato) are aligned with the operational needs of schools for refurbishment.</w:t>
      </w:r>
    </w:p>
    <w:p w14:paraId="233BC079" w14:textId="657730ED" w:rsidR="006709C9" w:rsidRPr="00911BD5" w:rsidRDefault="006709C9" w:rsidP="006709C9">
      <w:pPr>
        <w:numPr>
          <w:ilvl w:val="0"/>
          <w:numId w:val="22"/>
        </w:numPr>
        <w:spacing w:after="210"/>
        <w:rPr>
          <w:rFonts w:asciiTheme="majorHAnsi" w:eastAsia="Play" w:hAnsiTheme="majorHAnsi" w:cs="Play"/>
          <w:lang w:val="en-US"/>
        </w:rPr>
      </w:pPr>
      <w:r w:rsidRPr="00911BD5">
        <w:rPr>
          <w:rFonts w:asciiTheme="majorHAnsi" w:eastAsia="Play" w:hAnsiTheme="majorHAnsi" w:cs="Play"/>
          <w:b/>
          <w:bCs/>
          <w:lang w:val="en-US"/>
        </w:rPr>
        <w:t>Bulgaria (Varna):</w:t>
      </w:r>
      <w:r w:rsidRPr="00911BD5">
        <w:rPr>
          <w:rFonts w:asciiTheme="majorHAnsi" w:eastAsia="Play" w:hAnsiTheme="majorHAnsi" w:cs="Play"/>
          <w:lang w:val="en-US"/>
        </w:rPr>
        <w:t xml:space="preserve"> Needs Development. Current legislation is restrictive; the Public Procurement Act does not yet support the original eco-renting concept. National-level regulatory adjustments and capacity building for public authorities on circular practices are required.</w:t>
      </w:r>
    </w:p>
    <w:p w14:paraId="4D9A34BB" w14:textId="77777777" w:rsidR="000B36E1" w:rsidRPr="00911BD5" w:rsidRDefault="00000000">
      <w:pPr>
        <w:spacing w:before="240" w:line="271" w:lineRule="auto"/>
        <w:rPr>
          <w:rFonts w:asciiTheme="majorHAnsi" w:eastAsia="Play" w:hAnsiTheme="majorHAnsi" w:cs="Play"/>
        </w:rPr>
      </w:pPr>
      <w:bookmarkStart w:id="25" w:name="bookmark=id.dh6vos4puet5" w:colFirst="0" w:colLast="0"/>
      <w:bookmarkEnd w:id="25"/>
      <w:r w:rsidRPr="00911BD5">
        <w:rPr>
          <w:rFonts w:asciiTheme="majorHAnsi" w:eastAsia="Play" w:hAnsiTheme="majorHAnsi" w:cs="Play"/>
          <w:b/>
          <w:bCs/>
          <w:sz w:val="33"/>
          <w:szCs w:val="33"/>
        </w:rPr>
        <w:t>8.2 Governance Structure for Multi-Stakeholder Coordination</w:t>
      </w:r>
    </w:p>
    <w:p w14:paraId="1C4997F7" w14:textId="4EE1C611" w:rsidR="000B36E1" w:rsidRPr="00911BD5" w:rsidRDefault="00DD2FFF" w:rsidP="00DD2FFF">
      <w:pPr>
        <w:spacing w:after="210"/>
        <w:rPr>
          <w:rFonts w:asciiTheme="majorHAnsi" w:eastAsia="Play" w:hAnsiTheme="majorHAnsi" w:cs="Play"/>
        </w:rPr>
      </w:pPr>
      <w:r w:rsidRPr="00911BD5">
        <w:rPr>
          <w:rFonts w:asciiTheme="majorHAnsi" w:eastAsia="Play" w:hAnsiTheme="majorHAnsi" w:cs="Play"/>
        </w:rPr>
        <w:lastRenderedPageBreak/>
        <w:t>A multi-stakeholder steering committee led by a regional coordinator, comprising regional purchasing offices (asset providers), technical schools (refurbishers) and environmental agencies (policy alignment).</w:t>
      </w:r>
    </w:p>
    <w:p w14:paraId="4E57B02D" w14:textId="77777777" w:rsidR="000B36E1" w:rsidRPr="00911BD5" w:rsidRDefault="00000000">
      <w:pPr>
        <w:spacing w:before="240" w:line="271" w:lineRule="auto"/>
        <w:rPr>
          <w:rFonts w:asciiTheme="majorHAnsi" w:eastAsia="Play" w:hAnsiTheme="majorHAnsi" w:cs="Play"/>
        </w:rPr>
      </w:pPr>
      <w:bookmarkStart w:id="26" w:name="bookmark=id.zigu0b1yp3hq" w:colFirst="0" w:colLast="0"/>
      <w:bookmarkEnd w:id="26"/>
      <w:r w:rsidRPr="00911BD5">
        <w:rPr>
          <w:rFonts w:asciiTheme="majorHAnsi" w:eastAsia="Play" w:hAnsiTheme="majorHAnsi" w:cs="Play"/>
          <w:b/>
          <w:bCs/>
          <w:sz w:val="33"/>
          <w:szCs w:val="33"/>
        </w:rPr>
        <w:t>8.3 Minimum Capacity Requirements (by role)</w:t>
      </w:r>
    </w:p>
    <w:tbl>
      <w:tblPr>
        <w:tblStyle w:val="a5"/>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131"/>
        <w:gridCol w:w="1505"/>
        <w:gridCol w:w="2034"/>
        <w:gridCol w:w="1916"/>
        <w:gridCol w:w="2098"/>
      </w:tblGrid>
      <w:tr w:rsidR="000B36E1" w:rsidRPr="00911BD5" w14:paraId="7B237D12" w14:textId="77777777">
        <w:trPr>
          <w:cantSplit/>
          <w:jc w:val="center"/>
        </w:trPr>
        <w:tc>
          <w:tcPr>
            <w:tcW w:w="1131" w:type="dxa"/>
            <w:tcBorders>
              <w:top w:val="single" w:sz="4" w:space="0" w:color="000000"/>
              <w:bottom w:val="single" w:sz="4" w:space="0" w:color="000000"/>
            </w:tcBorders>
          </w:tcPr>
          <w:p w14:paraId="150E9933" w14:textId="77777777" w:rsidR="000B36E1" w:rsidRPr="00911BD5" w:rsidRDefault="00000000">
            <w:pPr>
              <w:rPr>
                <w:rFonts w:asciiTheme="majorHAnsi" w:eastAsia="Play" w:hAnsiTheme="majorHAnsi" w:cs="Play"/>
              </w:rPr>
            </w:pPr>
            <w:r w:rsidRPr="00911BD5">
              <w:rPr>
                <w:rFonts w:asciiTheme="majorHAnsi" w:eastAsia="Play" w:hAnsiTheme="majorHAnsi" w:cs="Play"/>
              </w:rPr>
              <w:t>Role</w:t>
            </w:r>
          </w:p>
        </w:tc>
        <w:tc>
          <w:tcPr>
            <w:tcW w:w="1505" w:type="dxa"/>
            <w:tcBorders>
              <w:top w:val="single" w:sz="4" w:space="0" w:color="000000"/>
              <w:left w:val="single" w:sz="4" w:space="0" w:color="000000"/>
              <w:bottom w:val="single" w:sz="4" w:space="0" w:color="000000"/>
            </w:tcBorders>
          </w:tcPr>
          <w:p w14:paraId="6C17EDC0" w14:textId="77777777" w:rsidR="000B36E1" w:rsidRPr="00911BD5" w:rsidRDefault="00000000">
            <w:pPr>
              <w:rPr>
                <w:rFonts w:asciiTheme="majorHAnsi" w:eastAsia="Play" w:hAnsiTheme="majorHAnsi" w:cs="Play"/>
              </w:rPr>
            </w:pPr>
            <w:r w:rsidRPr="00911BD5">
              <w:rPr>
                <w:rFonts w:asciiTheme="majorHAnsi" w:eastAsia="Play" w:hAnsiTheme="majorHAnsi" w:cs="Play"/>
              </w:rPr>
              <w:t>Organization Type</w:t>
            </w:r>
          </w:p>
        </w:tc>
        <w:tc>
          <w:tcPr>
            <w:tcW w:w="2034" w:type="dxa"/>
            <w:tcBorders>
              <w:top w:val="single" w:sz="4" w:space="0" w:color="000000"/>
              <w:left w:val="single" w:sz="4" w:space="0" w:color="000000"/>
              <w:bottom w:val="single" w:sz="4" w:space="0" w:color="000000"/>
            </w:tcBorders>
          </w:tcPr>
          <w:p w14:paraId="6D08CFBD" w14:textId="77777777" w:rsidR="000B36E1" w:rsidRPr="00911BD5" w:rsidRDefault="00000000">
            <w:pPr>
              <w:rPr>
                <w:rFonts w:asciiTheme="majorHAnsi" w:eastAsia="Play" w:hAnsiTheme="majorHAnsi" w:cs="Play"/>
              </w:rPr>
            </w:pPr>
            <w:r w:rsidRPr="00911BD5">
              <w:rPr>
                <w:rFonts w:asciiTheme="majorHAnsi" w:eastAsia="Play" w:hAnsiTheme="majorHAnsi" w:cs="Play"/>
              </w:rPr>
              <w:t>Minimum Capacity</w:t>
            </w:r>
          </w:p>
        </w:tc>
        <w:tc>
          <w:tcPr>
            <w:tcW w:w="1916" w:type="dxa"/>
            <w:tcBorders>
              <w:top w:val="single" w:sz="4" w:space="0" w:color="000000"/>
              <w:left w:val="single" w:sz="4" w:space="0" w:color="000000"/>
              <w:bottom w:val="single" w:sz="4" w:space="0" w:color="000000"/>
            </w:tcBorders>
          </w:tcPr>
          <w:p w14:paraId="06168292" w14:textId="77777777" w:rsidR="000B36E1" w:rsidRPr="00911BD5" w:rsidRDefault="00000000">
            <w:pPr>
              <w:rPr>
                <w:rFonts w:asciiTheme="majorHAnsi" w:eastAsia="Play" w:hAnsiTheme="majorHAnsi" w:cs="Play"/>
              </w:rPr>
            </w:pPr>
            <w:r w:rsidRPr="00911BD5">
              <w:rPr>
                <w:rFonts w:asciiTheme="majorHAnsi" w:eastAsia="Play" w:hAnsiTheme="majorHAnsi" w:cs="Play"/>
              </w:rPr>
              <w:t>Training Hours Required</w:t>
            </w:r>
          </w:p>
        </w:tc>
        <w:tc>
          <w:tcPr>
            <w:tcW w:w="2098" w:type="dxa"/>
            <w:tcBorders>
              <w:top w:val="single" w:sz="4" w:space="0" w:color="000000"/>
              <w:left w:val="single" w:sz="4" w:space="0" w:color="000000"/>
              <w:bottom w:val="single" w:sz="4" w:space="0" w:color="000000"/>
            </w:tcBorders>
          </w:tcPr>
          <w:p w14:paraId="289BC6B9" w14:textId="77777777" w:rsidR="000B36E1" w:rsidRPr="00911BD5" w:rsidRDefault="00000000">
            <w:pPr>
              <w:rPr>
                <w:rFonts w:asciiTheme="majorHAnsi" w:eastAsia="Play" w:hAnsiTheme="majorHAnsi" w:cs="Play"/>
              </w:rPr>
            </w:pPr>
            <w:r w:rsidRPr="00911BD5">
              <w:rPr>
                <w:rFonts w:asciiTheme="majorHAnsi" w:eastAsia="Play" w:hAnsiTheme="majorHAnsi" w:cs="Play"/>
              </w:rPr>
              <w:t>Tools Provided</w:t>
            </w:r>
          </w:p>
        </w:tc>
      </w:tr>
      <w:tr w:rsidR="000B36E1" w:rsidRPr="00911BD5" w14:paraId="31B5719A" w14:textId="77777777">
        <w:trPr>
          <w:cantSplit/>
          <w:jc w:val="center"/>
        </w:trPr>
        <w:tc>
          <w:tcPr>
            <w:tcW w:w="1131" w:type="dxa"/>
            <w:tcBorders>
              <w:top w:val="single" w:sz="4" w:space="0" w:color="000000"/>
              <w:bottom w:val="single" w:sz="4" w:space="0" w:color="000000"/>
            </w:tcBorders>
          </w:tcPr>
          <w:p w14:paraId="1B8221E3" w14:textId="7495FCA6" w:rsidR="000B36E1" w:rsidRPr="00911BD5" w:rsidRDefault="008E5BD2">
            <w:pPr>
              <w:rPr>
                <w:rFonts w:asciiTheme="majorHAnsi" w:eastAsia="Play" w:hAnsiTheme="majorHAnsi" w:cs="Play"/>
              </w:rPr>
            </w:pPr>
            <w:r w:rsidRPr="00911BD5">
              <w:rPr>
                <w:rFonts w:asciiTheme="majorHAnsi" w:eastAsia="Play" w:hAnsiTheme="majorHAnsi" w:cs="Play"/>
                <w:b/>
                <w:bCs/>
              </w:rPr>
              <w:t>Project Coordinator</w:t>
            </w:r>
          </w:p>
        </w:tc>
        <w:tc>
          <w:tcPr>
            <w:tcW w:w="1505" w:type="dxa"/>
            <w:tcBorders>
              <w:top w:val="single" w:sz="4" w:space="0" w:color="000000"/>
              <w:left w:val="single" w:sz="4" w:space="0" w:color="000000"/>
              <w:bottom w:val="single" w:sz="4" w:space="0" w:color="000000"/>
            </w:tcBorders>
          </w:tcPr>
          <w:p w14:paraId="6A5ACF2A" w14:textId="460C32C7" w:rsidR="000B36E1" w:rsidRPr="00911BD5" w:rsidRDefault="008E5BD2">
            <w:pPr>
              <w:rPr>
                <w:rFonts w:asciiTheme="majorHAnsi" w:eastAsia="Play" w:hAnsiTheme="majorHAnsi" w:cs="Play"/>
              </w:rPr>
            </w:pPr>
            <w:r w:rsidRPr="00911BD5">
              <w:rPr>
                <w:rFonts w:asciiTheme="majorHAnsi" w:eastAsia="Play" w:hAnsiTheme="majorHAnsi" w:cs="Play"/>
              </w:rPr>
              <w:t>Regional Authority / Municipal Union</w:t>
            </w:r>
          </w:p>
        </w:tc>
        <w:tc>
          <w:tcPr>
            <w:tcW w:w="2034" w:type="dxa"/>
            <w:tcBorders>
              <w:top w:val="single" w:sz="4" w:space="0" w:color="000000"/>
              <w:left w:val="single" w:sz="4" w:space="0" w:color="000000"/>
              <w:bottom w:val="single" w:sz="4" w:space="0" w:color="000000"/>
            </w:tcBorders>
          </w:tcPr>
          <w:p w14:paraId="38CA65F6" w14:textId="25DB3760" w:rsidR="000B36E1" w:rsidRPr="00911BD5" w:rsidRDefault="008E5BD2">
            <w:pPr>
              <w:rPr>
                <w:rFonts w:asciiTheme="majorHAnsi" w:eastAsia="Play" w:hAnsiTheme="majorHAnsi" w:cs="Play"/>
              </w:rPr>
            </w:pPr>
            <w:r w:rsidRPr="00911BD5">
              <w:rPr>
                <w:rFonts w:asciiTheme="majorHAnsi" w:eastAsia="Play" w:hAnsiTheme="majorHAnsi" w:cs="Play"/>
              </w:rPr>
              <w:t>0.2 – 0.5 FTE for 6–9 months</w:t>
            </w:r>
          </w:p>
        </w:tc>
        <w:tc>
          <w:tcPr>
            <w:tcW w:w="1916" w:type="dxa"/>
            <w:tcBorders>
              <w:top w:val="single" w:sz="4" w:space="0" w:color="000000"/>
              <w:left w:val="single" w:sz="4" w:space="0" w:color="000000"/>
              <w:bottom w:val="single" w:sz="4" w:space="0" w:color="000000"/>
            </w:tcBorders>
          </w:tcPr>
          <w:p w14:paraId="47B650D4" w14:textId="4BAA9302" w:rsidR="000B36E1" w:rsidRPr="00911BD5" w:rsidRDefault="008E5BD2">
            <w:pPr>
              <w:rPr>
                <w:rFonts w:asciiTheme="majorHAnsi" w:eastAsia="Play" w:hAnsiTheme="majorHAnsi" w:cs="Play"/>
              </w:rPr>
            </w:pPr>
            <w:r w:rsidRPr="00911BD5">
              <w:rPr>
                <w:rFonts w:asciiTheme="majorHAnsi" w:eastAsia="Play" w:hAnsiTheme="majorHAnsi" w:cs="Play"/>
              </w:rPr>
              <w:t>8 – 16 hours</w:t>
            </w:r>
          </w:p>
        </w:tc>
        <w:tc>
          <w:tcPr>
            <w:tcW w:w="2098" w:type="dxa"/>
            <w:tcBorders>
              <w:top w:val="single" w:sz="4" w:space="0" w:color="000000"/>
              <w:left w:val="single" w:sz="4" w:space="0" w:color="000000"/>
              <w:bottom w:val="single" w:sz="4" w:space="0" w:color="000000"/>
            </w:tcBorders>
          </w:tcPr>
          <w:p w14:paraId="3847B347" w14:textId="110BBBDA" w:rsidR="000B36E1" w:rsidRPr="00911BD5" w:rsidRDefault="008E5BD2">
            <w:pPr>
              <w:rPr>
                <w:rFonts w:asciiTheme="majorHAnsi" w:eastAsia="Play" w:hAnsiTheme="majorHAnsi" w:cs="Play"/>
              </w:rPr>
            </w:pPr>
            <w:r w:rsidRPr="00911BD5">
              <w:rPr>
                <w:rFonts w:asciiTheme="majorHAnsi" w:eastAsia="Play" w:hAnsiTheme="majorHAnsi" w:cs="Play"/>
              </w:rPr>
              <w:t>Pilot guidelines, technical checklists, reporting templates.</w:t>
            </w:r>
          </w:p>
        </w:tc>
      </w:tr>
      <w:tr w:rsidR="000B36E1" w:rsidRPr="00911BD5" w14:paraId="63E3F4D5" w14:textId="77777777">
        <w:trPr>
          <w:cantSplit/>
          <w:jc w:val="center"/>
        </w:trPr>
        <w:tc>
          <w:tcPr>
            <w:tcW w:w="1131" w:type="dxa"/>
            <w:tcBorders>
              <w:top w:val="single" w:sz="4" w:space="0" w:color="000000"/>
              <w:bottom w:val="single" w:sz="4" w:space="0" w:color="000000"/>
            </w:tcBorders>
          </w:tcPr>
          <w:p w14:paraId="18D3ED60" w14:textId="319C1D5A" w:rsidR="000B36E1" w:rsidRPr="00911BD5" w:rsidRDefault="008E5BD2">
            <w:pPr>
              <w:rPr>
                <w:rFonts w:asciiTheme="majorHAnsi" w:eastAsia="Play" w:hAnsiTheme="majorHAnsi" w:cs="Play"/>
              </w:rPr>
            </w:pPr>
            <w:r w:rsidRPr="00911BD5">
              <w:rPr>
                <w:rFonts w:asciiTheme="majorHAnsi" w:eastAsia="Play" w:hAnsiTheme="majorHAnsi" w:cs="Play"/>
                <w:b/>
                <w:bCs/>
              </w:rPr>
              <w:t>Technical Hub Manager</w:t>
            </w:r>
          </w:p>
        </w:tc>
        <w:tc>
          <w:tcPr>
            <w:tcW w:w="1505" w:type="dxa"/>
            <w:tcBorders>
              <w:top w:val="single" w:sz="4" w:space="0" w:color="000000"/>
              <w:left w:val="single" w:sz="4" w:space="0" w:color="000000"/>
              <w:bottom w:val="single" w:sz="4" w:space="0" w:color="000000"/>
            </w:tcBorders>
          </w:tcPr>
          <w:p w14:paraId="154639D8" w14:textId="205F3193" w:rsidR="000B36E1" w:rsidRPr="00911BD5" w:rsidRDefault="008E5BD2">
            <w:pPr>
              <w:rPr>
                <w:rFonts w:asciiTheme="majorHAnsi" w:eastAsia="Play" w:hAnsiTheme="majorHAnsi" w:cs="Play"/>
              </w:rPr>
            </w:pPr>
            <w:r w:rsidRPr="00911BD5">
              <w:rPr>
                <w:rFonts w:asciiTheme="majorHAnsi" w:eastAsia="Play" w:hAnsiTheme="majorHAnsi" w:cs="Play"/>
              </w:rPr>
              <w:t>Vocational School / Technical Institute</w:t>
            </w:r>
          </w:p>
        </w:tc>
        <w:tc>
          <w:tcPr>
            <w:tcW w:w="2034" w:type="dxa"/>
            <w:tcBorders>
              <w:top w:val="single" w:sz="4" w:space="0" w:color="000000"/>
              <w:left w:val="single" w:sz="4" w:space="0" w:color="000000"/>
              <w:bottom w:val="single" w:sz="4" w:space="0" w:color="000000"/>
            </w:tcBorders>
          </w:tcPr>
          <w:p w14:paraId="4225CF43" w14:textId="059E59CC" w:rsidR="000B36E1" w:rsidRPr="00911BD5" w:rsidRDefault="008E5BD2">
            <w:pPr>
              <w:rPr>
                <w:rFonts w:asciiTheme="majorHAnsi" w:eastAsia="Play" w:hAnsiTheme="majorHAnsi" w:cs="Play"/>
              </w:rPr>
            </w:pPr>
            <w:r w:rsidRPr="00911BD5">
              <w:rPr>
                <w:rFonts w:asciiTheme="majorHAnsi" w:eastAsia="Play" w:hAnsiTheme="majorHAnsi" w:cs="Play"/>
              </w:rPr>
              <w:t>1 Focal point per laboratory</w:t>
            </w:r>
          </w:p>
        </w:tc>
        <w:tc>
          <w:tcPr>
            <w:tcW w:w="1916" w:type="dxa"/>
            <w:tcBorders>
              <w:top w:val="single" w:sz="4" w:space="0" w:color="000000"/>
              <w:left w:val="single" w:sz="4" w:space="0" w:color="000000"/>
              <w:bottom w:val="single" w:sz="4" w:space="0" w:color="000000"/>
            </w:tcBorders>
          </w:tcPr>
          <w:p w14:paraId="3F8D153B" w14:textId="6C680405" w:rsidR="000B36E1" w:rsidRPr="00911BD5" w:rsidRDefault="008E5BD2">
            <w:pPr>
              <w:rPr>
                <w:rFonts w:asciiTheme="majorHAnsi" w:eastAsia="Play" w:hAnsiTheme="majorHAnsi" w:cs="Play"/>
              </w:rPr>
            </w:pPr>
            <w:r w:rsidRPr="00911BD5">
              <w:rPr>
                <w:rFonts w:asciiTheme="majorHAnsi" w:eastAsia="Play" w:hAnsiTheme="majorHAnsi" w:cs="Play"/>
              </w:rPr>
              <w:t>8 – 12 hours</w:t>
            </w:r>
          </w:p>
        </w:tc>
        <w:tc>
          <w:tcPr>
            <w:tcW w:w="2098" w:type="dxa"/>
            <w:tcBorders>
              <w:top w:val="single" w:sz="4" w:space="0" w:color="000000"/>
              <w:left w:val="single" w:sz="4" w:space="0" w:color="000000"/>
              <w:bottom w:val="single" w:sz="4" w:space="0" w:color="000000"/>
            </w:tcBorders>
          </w:tcPr>
          <w:p w14:paraId="227454BF" w14:textId="0323D76A" w:rsidR="000B36E1" w:rsidRPr="00911BD5" w:rsidRDefault="008E5BD2">
            <w:pPr>
              <w:rPr>
                <w:rFonts w:asciiTheme="majorHAnsi" w:eastAsia="Play" w:hAnsiTheme="majorHAnsi" w:cs="Play"/>
              </w:rPr>
            </w:pPr>
            <w:r w:rsidRPr="00911BD5">
              <w:rPr>
                <w:rFonts w:asciiTheme="majorHAnsi" w:eastAsia="Play" w:hAnsiTheme="majorHAnsi" w:cs="Play"/>
              </w:rPr>
              <w:t>Hardware diagnostics tools, SSD upgrade kits, data wiping software.</w:t>
            </w:r>
          </w:p>
        </w:tc>
      </w:tr>
      <w:tr w:rsidR="000B36E1" w:rsidRPr="00911BD5" w14:paraId="18E3D19D" w14:textId="77777777">
        <w:trPr>
          <w:cantSplit/>
          <w:jc w:val="center"/>
        </w:trPr>
        <w:tc>
          <w:tcPr>
            <w:tcW w:w="1131" w:type="dxa"/>
            <w:tcBorders>
              <w:top w:val="single" w:sz="4" w:space="0" w:color="000000"/>
              <w:bottom w:val="single" w:sz="4" w:space="0" w:color="000000"/>
            </w:tcBorders>
          </w:tcPr>
          <w:p w14:paraId="3B347A3A" w14:textId="7E6AA8ED" w:rsidR="000B36E1" w:rsidRPr="00911BD5" w:rsidRDefault="008E5BD2">
            <w:pPr>
              <w:rPr>
                <w:rFonts w:asciiTheme="majorHAnsi" w:eastAsia="Play" w:hAnsiTheme="majorHAnsi" w:cs="Play"/>
              </w:rPr>
            </w:pPr>
            <w:r w:rsidRPr="00911BD5">
              <w:rPr>
                <w:rFonts w:asciiTheme="majorHAnsi" w:eastAsia="Play" w:hAnsiTheme="majorHAnsi" w:cs="Play"/>
                <w:b/>
                <w:bCs/>
              </w:rPr>
              <w:t>Platform/Inventory Manager</w:t>
            </w:r>
          </w:p>
        </w:tc>
        <w:tc>
          <w:tcPr>
            <w:tcW w:w="1505" w:type="dxa"/>
            <w:tcBorders>
              <w:top w:val="single" w:sz="4" w:space="0" w:color="000000"/>
              <w:left w:val="single" w:sz="4" w:space="0" w:color="000000"/>
              <w:bottom w:val="single" w:sz="4" w:space="0" w:color="000000"/>
            </w:tcBorders>
          </w:tcPr>
          <w:p w14:paraId="6741DDA8" w14:textId="4147F703" w:rsidR="000B36E1" w:rsidRPr="00911BD5" w:rsidRDefault="008E5BD2">
            <w:pPr>
              <w:rPr>
                <w:rFonts w:asciiTheme="majorHAnsi" w:eastAsia="Play" w:hAnsiTheme="majorHAnsi" w:cs="Play"/>
              </w:rPr>
            </w:pPr>
            <w:r w:rsidRPr="00911BD5">
              <w:rPr>
                <w:rFonts w:asciiTheme="majorHAnsi" w:eastAsia="Play" w:hAnsiTheme="majorHAnsi" w:cs="Play"/>
              </w:rPr>
              <w:t>Regional IT Team / Association</w:t>
            </w:r>
          </w:p>
        </w:tc>
        <w:tc>
          <w:tcPr>
            <w:tcW w:w="2034" w:type="dxa"/>
            <w:tcBorders>
              <w:top w:val="single" w:sz="4" w:space="0" w:color="000000"/>
              <w:left w:val="single" w:sz="4" w:space="0" w:color="000000"/>
              <w:bottom w:val="single" w:sz="4" w:space="0" w:color="000000"/>
            </w:tcBorders>
          </w:tcPr>
          <w:p w14:paraId="64E16705" w14:textId="0F3B862D" w:rsidR="000B36E1" w:rsidRPr="00911BD5" w:rsidRDefault="008E5BD2">
            <w:pPr>
              <w:rPr>
                <w:rFonts w:asciiTheme="majorHAnsi" w:eastAsia="Play" w:hAnsiTheme="majorHAnsi" w:cs="Play"/>
              </w:rPr>
            </w:pPr>
            <w:r w:rsidRPr="00911BD5">
              <w:rPr>
                <w:rFonts w:asciiTheme="majorHAnsi" w:eastAsia="Play" w:hAnsiTheme="majorHAnsi" w:cs="Play"/>
              </w:rPr>
              <w:t>0.1 FTE (Monthly oversight)</w:t>
            </w:r>
          </w:p>
        </w:tc>
        <w:tc>
          <w:tcPr>
            <w:tcW w:w="1916" w:type="dxa"/>
            <w:tcBorders>
              <w:top w:val="single" w:sz="4" w:space="0" w:color="000000"/>
              <w:left w:val="single" w:sz="4" w:space="0" w:color="000000"/>
              <w:bottom w:val="single" w:sz="4" w:space="0" w:color="000000"/>
            </w:tcBorders>
          </w:tcPr>
          <w:p w14:paraId="363A27B9" w14:textId="067DE04B" w:rsidR="000B36E1" w:rsidRPr="00911BD5" w:rsidRDefault="008E5BD2">
            <w:pPr>
              <w:rPr>
                <w:rFonts w:asciiTheme="majorHAnsi" w:eastAsia="Play" w:hAnsiTheme="majorHAnsi" w:cs="Play"/>
              </w:rPr>
            </w:pPr>
            <w:r w:rsidRPr="00911BD5">
              <w:rPr>
                <w:rFonts w:asciiTheme="majorHAnsi" w:eastAsia="Play" w:hAnsiTheme="majorHAnsi" w:cs="Play"/>
              </w:rPr>
              <w:t>4 – 6 hours</w:t>
            </w:r>
          </w:p>
        </w:tc>
        <w:tc>
          <w:tcPr>
            <w:tcW w:w="2098" w:type="dxa"/>
            <w:tcBorders>
              <w:top w:val="single" w:sz="4" w:space="0" w:color="000000"/>
              <w:left w:val="single" w:sz="4" w:space="0" w:color="000000"/>
              <w:bottom w:val="single" w:sz="4" w:space="0" w:color="000000"/>
            </w:tcBorders>
          </w:tcPr>
          <w:p w14:paraId="7012B62D" w14:textId="4E88AA5C" w:rsidR="000B36E1" w:rsidRPr="00911BD5" w:rsidRDefault="008E5BD2">
            <w:pPr>
              <w:rPr>
                <w:rFonts w:asciiTheme="majorHAnsi" w:eastAsia="Play" w:hAnsiTheme="majorHAnsi" w:cs="Play"/>
              </w:rPr>
            </w:pPr>
            <w:r w:rsidRPr="00911BD5">
              <w:rPr>
                <w:rFonts w:asciiTheme="majorHAnsi" w:eastAsia="Play" w:hAnsiTheme="majorHAnsi" w:cs="Play"/>
              </w:rPr>
              <w:t>EESwap/TechSwap Admin Panel, User Guides.</w:t>
            </w:r>
          </w:p>
        </w:tc>
      </w:tr>
    </w:tbl>
    <w:p w14:paraId="76ED31D9" w14:textId="77777777" w:rsidR="000B36E1" w:rsidRPr="00911BD5" w:rsidRDefault="000B36E1">
      <w:pPr>
        <w:rPr>
          <w:rFonts w:asciiTheme="majorHAnsi" w:eastAsia="Play" w:hAnsiTheme="majorHAnsi" w:cs="Play"/>
        </w:rPr>
      </w:pPr>
    </w:p>
    <w:p w14:paraId="049E4C6B" w14:textId="77777777" w:rsidR="000B36E1" w:rsidRPr="00911BD5" w:rsidRDefault="007C558F">
      <w:pPr>
        <w:rPr>
          <w:rFonts w:asciiTheme="majorHAnsi" w:eastAsia="Play" w:hAnsiTheme="majorHAnsi" w:cs="Play"/>
        </w:rPr>
      </w:pPr>
      <w:r>
        <w:rPr>
          <w:rFonts w:asciiTheme="majorHAnsi" w:hAnsiTheme="majorHAnsi"/>
          <w:noProof/>
        </w:rPr>
        <w:pict w14:anchorId="07E047D4">
          <v:rect id="_x0000_i1027" alt="" style="width:353.25pt;height:.05pt;mso-width-percent:0;mso-height-percent:0;mso-width-percent:0;mso-height-percent:0" o:hrpct="733" o:hralign="center" o:hrstd="t" o:hr="t" fillcolor="#a0a0a0" stroked="f"/>
        </w:pict>
      </w:r>
    </w:p>
    <w:p w14:paraId="47E65EA4" w14:textId="77777777" w:rsidR="000B36E1" w:rsidRPr="00911BD5" w:rsidRDefault="00000000">
      <w:pPr>
        <w:spacing w:before="240" w:line="271" w:lineRule="auto"/>
        <w:rPr>
          <w:rFonts w:asciiTheme="majorHAnsi" w:eastAsia="Play" w:hAnsiTheme="majorHAnsi" w:cs="Play"/>
        </w:rPr>
      </w:pPr>
      <w:bookmarkStart w:id="27" w:name="bookmark=id.j8ku0nqhyvae" w:colFirst="0" w:colLast="0"/>
      <w:bookmarkEnd w:id="27"/>
      <w:r w:rsidRPr="00911BD5">
        <w:rPr>
          <w:rFonts w:asciiTheme="majorHAnsi" w:eastAsia="Play" w:hAnsiTheme="majorHAnsi" w:cs="Play"/>
          <w:b/>
          <w:bCs/>
          <w:sz w:val="42"/>
          <w:szCs w:val="42"/>
        </w:rPr>
        <w:t>SECTION 9: MONITORING &amp; EVALUATION FRAMEWORK</w:t>
      </w:r>
    </w:p>
    <w:p w14:paraId="6BC99523" w14:textId="77777777" w:rsidR="000B36E1" w:rsidRPr="00911BD5" w:rsidRDefault="00000000">
      <w:pPr>
        <w:spacing w:before="240" w:line="271" w:lineRule="auto"/>
        <w:rPr>
          <w:rFonts w:asciiTheme="majorHAnsi" w:eastAsia="Play" w:hAnsiTheme="majorHAnsi" w:cs="Play"/>
        </w:rPr>
      </w:pPr>
      <w:bookmarkStart w:id="28" w:name="bookmark=id.l0trjaj3mqf6" w:colFirst="0" w:colLast="0"/>
      <w:bookmarkEnd w:id="28"/>
      <w:r w:rsidRPr="00911BD5">
        <w:rPr>
          <w:rFonts w:asciiTheme="majorHAnsi" w:eastAsia="Play" w:hAnsiTheme="majorHAnsi" w:cs="Play"/>
          <w:b/>
          <w:bCs/>
          <w:sz w:val="33"/>
          <w:szCs w:val="33"/>
        </w:rPr>
        <w:t>9.1 Key Indicators for Transfer</w:t>
      </w:r>
    </w:p>
    <w:p w14:paraId="2F6B5E92"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rPr>
        <w:t>When your solution is replicated in a new territory, what should be monitored?</w:t>
      </w:r>
    </w:p>
    <w:tbl>
      <w:tblPr>
        <w:tblStyle w:val="a6"/>
        <w:tblW w:w="8684"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404"/>
        <w:gridCol w:w="3125"/>
        <w:gridCol w:w="1203"/>
        <w:gridCol w:w="1266"/>
        <w:gridCol w:w="1686"/>
      </w:tblGrid>
      <w:tr w:rsidR="000B36E1" w:rsidRPr="00911BD5" w14:paraId="454BD610" w14:textId="77777777">
        <w:trPr>
          <w:cantSplit/>
          <w:jc w:val="center"/>
        </w:trPr>
        <w:tc>
          <w:tcPr>
            <w:tcW w:w="1404" w:type="dxa"/>
            <w:tcBorders>
              <w:top w:val="single" w:sz="4" w:space="0" w:color="000000"/>
              <w:bottom w:val="single" w:sz="4" w:space="0" w:color="000000"/>
            </w:tcBorders>
          </w:tcPr>
          <w:p w14:paraId="4517CE72" w14:textId="77777777" w:rsidR="000B36E1" w:rsidRPr="00911BD5" w:rsidRDefault="00000000">
            <w:pPr>
              <w:rPr>
                <w:rFonts w:asciiTheme="majorHAnsi" w:eastAsia="Play" w:hAnsiTheme="majorHAnsi" w:cs="Play"/>
              </w:rPr>
            </w:pPr>
            <w:r w:rsidRPr="00911BD5">
              <w:rPr>
                <w:rFonts w:asciiTheme="majorHAnsi" w:eastAsia="Play" w:hAnsiTheme="majorHAnsi" w:cs="Play"/>
              </w:rPr>
              <w:t>Indicator Type</w:t>
            </w:r>
          </w:p>
        </w:tc>
        <w:tc>
          <w:tcPr>
            <w:tcW w:w="3125" w:type="dxa"/>
            <w:tcBorders>
              <w:top w:val="single" w:sz="4" w:space="0" w:color="000000"/>
              <w:left w:val="single" w:sz="4" w:space="0" w:color="000000"/>
              <w:bottom w:val="single" w:sz="4" w:space="0" w:color="000000"/>
            </w:tcBorders>
          </w:tcPr>
          <w:p w14:paraId="3D57C93A" w14:textId="77777777" w:rsidR="000B36E1" w:rsidRPr="00911BD5" w:rsidRDefault="00000000">
            <w:pPr>
              <w:rPr>
                <w:rFonts w:asciiTheme="majorHAnsi" w:eastAsia="Play" w:hAnsiTheme="majorHAnsi" w:cs="Play"/>
              </w:rPr>
            </w:pPr>
            <w:r w:rsidRPr="00911BD5">
              <w:rPr>
                <w:rFonts w:asciiTheme="majorHAnsi" w:eastAsia="Play" w:hAnsiTheme="majorHAnsi" w:cs="Play"/>
              </w:rPr>
              <w:t>Indicator Name</w:t>
            </w:r>
          </w:p>
        </w:tc>
        <w:tc>
          <w:tcPr>
            <w:tcW w:w="1203" w:type="dxa"/>
            <w:tcBorders>
              <w:top w:val="single" w:sz="4" w:space="0" w:color="000000"/>
              <w:left w:val="single" w:sz="4" w:space="0" w:color="000000"/>
              <w:bottom w:val="single" w:sz="4" w:space="0" w:color="000000"/>
            </w:tcBorders>
          </w:tcPr>
          <w:p w14:paraId="6BCF796E" w14:textId="77777777" w:rsidR="000B36E1" w:rsidRPr="00911BD5" w:rsidRDefault="00000000">
            <w:pPr>
              <w:rPr>
                <w:rFonts w:asciiTheme="majorHAnsi" w:eastAsia="Play" w:hAnsiTheme="majorHAnsi" w:cs="Play"/>
              </w:rPr>
            </w:pPr>
            <w:r w:rsidRPr="00911BD5">
              <w:rPr>
                <w:rFonts w:asciiTheme="majorHAnsi" w:eastAsia="Play" w:hAnsiTheme="majorHAnsi" w:cs="Play"/>
              </w:rPr>
              <w:t>Target</w:t>
            </w:r>
          </w:p>
        </w:tc>
        <w:tc>
          <w:tcPr>
            <w:tcW w:w="1266" w:type="dxa"/>
            <w:tcBorders>
              <w:top w:val="single" w:sz="4" w:space="0" w:color="000000"/>
              <w:left w:val="single" w:sz="4" w:space="0" w:color="000000"/>
              <w:bottom w:val="single" w:sz="4" w:space="0" w:color="000000"/>
            </w:tcBorders>
          </w:tcPr>
          <w:p w14:paraId="1172561E" w14:textId="77777777" w:rsidR="000B36E1" w:rsidRPr="00911BD5" w:rsidRDefault="00000000">
            <w:pPr>
              <w:rPr>
                <w:rFonts w:asciiTheme="majorHAnsi" w:eastAsia="Play" w:hAnsiTheme="majorHAnsi" w:cs="Play"/>
              </w:rPr>
            </w:pPr>
            <w:r w:rsidRPr="00911BD5">
              <w:rPr>
                <w:rFonts w:asciiTheme="majorHAnsi" w:eastAsia="Play" w:hAnsiTheme="majorHAnsi" w:cs="Play"/>
              </w:rPr>
              <w:t>Frequency</w:t>
            </w:r>
          </w:p>
        </w:tc>
        <w:tc>
          <w:tcPr>
            <w:tcW w:w="1686" w:type="dxa"/>
            <w:tcBorders>
              <w:top w:val="single" w:sz="4" w:space="0" w:color="000000"/>
              <w:left w:val="single" w:sz="4" w:space="0" w:color="000000"/>
              <w:bottom w:val="single" w:sz="4" w:space="0" w:color="000000"/>
            </w:tcBorders>
          </w:tcPr>
          <w:p w14:paraId="6A5E78C4" w14:textId="77777777" w:rsidR="000B36E1" w:rsidRPr="00911BD5" w:rsidRDefault="00000000">
            <w:pPr>
              <w:rPr>
                <w:rFonts w:asciiTheme="majorHAnsi" w:eastAsia="Play" w:hAnsiTheme="majorHAnsi" w:cs="Play"/>
              </w:rPr>
            </w:pPr>
            <w:r w:rsidRPr="00911BD5">
              <w:rPr>
                <w:rFonts w:asciiTheme="majorHAnsi" w:eastAsia="Play" w:hAnsiTheme="majorHAnsi" w:cs="Play"/>
              </w:rPr>
              <w:t>Data Source</w:t>
            </w:r>
          </w:p>
        </w:tc>
      </w:tr>
      <w:tr w:rsidR="000B36E1" w:rsidRPr="00911BD5" w14:paraId="1F38ACAC" w14:textId="77777777">
        <w:trPr>
          <w:cantSplit/>
          <w:jc w:val="center"/>
        </w:trPr>
        <w:tc>
          <w:tcPr>
            <w:tcW w:w="1404" w:type="dxa"/>
            <w:tcBorders>
              <w:top w:val="single" w:sz="4" w:space="0" w:color="000000"/>
              <w:bottom w:val="single" w:sz="4" w:space="0" w:color="000000"/>
            </w:tcBorders>
          </w:tcPr>
          <w:p w14:paraId="095FFC02"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Output</w:t>
            </w:r>
          </w:p>
        </w:tc>
        <w:tc>
          <w:tcPr>
            <w:tcW w:w="3125" w:type="dxa"/>
            <w:tcBorders>
              <w:top w:val="single" w:sz="4" w:space="0" w:color="000000"/>
              <w:left w:val="single" w:sz="4" w:space="0" w:color="000000"/>
              <w:bottom w:val="single" w:sz="4" w:space="0" w:color="000000"/>
            </w:tcBorders>
          </w:tcPr>
          <w:p w14:paraId="4253842F" w14:textId="0C7EFCE2" w:rsidR="000B36E1" w:rsidRPr="00911BD5" w:rsidRDefault="00DD2FFF">
            <w:pPr>
              <w:rPr>
                <w:rFonts w:asciiTheme="majorHAnsi" w:eastAsia="Play" w:hAnsiTheme="majorHAnsi" w:cs="Play"/>
              </w:rPr>
            </w:pPr>
            <w:r w:rsidRPr="00911BD5">
              <w:rPr>
                <w:rFonts w:asciiTheme="majorHAnsi" w:eastAsia="Play" w:hAnsiTheme="majorHAnsi" w:cs="Play"/>
              </w:rPr>
              <w:t>Number of devices assessed and collected</w:t>
            </w:r>
          </w:p>
        </w:tc>
        <w:tc>
          <w:tcPr>
            <w:tcW w:w="1203" w:type="dxa"/>
            <w:tcBorders>
              <w:top w:val="single" w:sz="4" w:space="0" w:color="000000"/>
              <w:left w:val="single" w:sz="4" w:space="0" w:color="000000"/>
              <w:bottom w:val="single" w:sz="4" w:space="0" w:color="000000"/>
            </w:tcBorders>
          </w:tcPr>
          <w:p w14:paraId="1902E667" w14:textId="52DBC33D" w:rsidR="000B36E1" w:rsidRPr="00911BD5" w:rsidRDefault="008E5BD2">
            <w:pPr>
              <w:rPr>
                <w:rFonts w:asciiTheme="majorHAnsi" w:eastAsia="Play" w:hAnsiTheme="majorHAnsi" w:cs="Play"/>
              </w:rPr>
            </w:pPr>
            <w:r w:rsidRPr="00911BD5">
              <w:rPr>
                <w:rFonts w:asciiTheme="majorHAnsi" w:eastAsia="Play" w:hAnsiTheme="majorHAnsi" w:cs="Play"/>
              </w:rPr>
              <w:t>250 units / year</w:t>
            </w:r>
          </w:p>
        </w:tc>
        <w:tc>
          <w:tcPr>
            <w:tcW w:w="1266" w:type="dxa"/>
            <w:tcBorders>
              <w:top w:val="single" w:sz="4" w:space="0" w:color="000000"/>
              <w:left w:val="single" w:sz="4" w:space="0" w:color="000000"/>
              <w:bottom w:val="single" w:sz="4" w:space="0" w:color="000000"/>
            </w:tcBorders>
          </w:tcPr>
          <w:p w14:paraId="1F4DC367" w14:textId="14B0E861" w:rsidR="000B36E1" w:rsidRPr="00911BD5" w:rsidRDefault="00000000">
            <w:pPr>
              <w:rPr>
                <w:rFonts w:asciiTheme="majorHAnsi" w:eastAsia="Play" w:hAnsiTheme="majorHAnsi" w:cs="Play"/>
              </w:rPr>
            </w:pPr>
            <w:r w:rsidRPr="00911BD5">
              <w:rPr>
                <w:rFonts w:asciiTheme="majorHAnsi" w:eastAsia="Play" w:hAnsiTheme="majorHAnsi" w:cs="Play"/>
              </w:rPr>
              <w:t>Monthly</w:t>
            </w:r>
          </w:p>
        </w:tc>
        <w:tc>
          <w:tcPr>
            <w:tcW w:w="1686" w:type="dxa"/>
            <w:tcBorders>
              <w:top w:val="single" w:sz="4" w:space="0" w:color="000000"/>
              <w:left w:val="single" w:sz="4" w:space="0" w:color="000000"/>
              <w:bottom w:val="single" w:sz="4" w:space="0" w:color="000000"/>
            </w:tcBorders>
          </w:tcPr>
          <w:p w14:paraId="054E12EC" w14:textId="02994A6C" w:rsidR="000B36E1" w:rsidRPr="00911BD5" w:rsidRDefault="008E5BD2">
            <w:pPr>
              <w:rPr>
                <w:rFonts w:asciiTheme="majorHAnsi" w:eastAsia="Play" w:hAnsiTheme="majorHAnsi" w:cs="Play"/>
              </w:rPr>
            </w:pPr>
            <w:r w:rsidRPr="00911BD5">
              <w:rPr>
                <w:rFonts w:asciiTheme="majorHAnsi" w:eastAsia="Play" w:hAnsiTheme="majorHAnsi" w:cs="Play"/>
              </w:rPr>
              <w:t>Regional procurement/inventory logs.</w:t>
            </w:r>
          </w:p>
        </w:tc>
      </w:tr>
      <w:tr w:rsidR="000B36E1" w:rsidRPr="00911BD5" w14:paraId="6766F495" w14:textId="77777777">
        <w:trPr>
          <w:cantSplit/>
          <w:jc w:val="center"/>
        </w:trPr>
        <w:tc>
          <w:tcPr>
            <w:tcW w:w="1404" w:type="dxa"/>
            <w:tcBorders>
              <w:top w:val="single" w:sz="4" w:space="0" w:color="000000"/>
              <w:bottom w:val="single" w:sz="4" w:space="0" w:color="000000"/>
            </w:tcBorders>
          </w:tcPr>
          <w:p w14:paraId="5C44FA28"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Outcome</w:t>
            </w:r>
          </w:p>
        </w:tc>
        <w:tc>
          <w:tcPr>
            <w:tcW w:w="3125" w:type="dxa"/>
            <w:tcBorders>
              <w:top w:val="single" w:sz="4" w:space="0" w:color="000000"/>
              <w:left w:val="single" w:sz="4" w:space="0" w:color="000000"/>
              <w:bottom w:val="single" w:sz="4" w:space="0" w:color="000000"/>
            </w:tcBorders>
          </w:tcPr>
          <w:p w14:paraId="5D3DA8CC" w14:textId="0E1EE15E" w:rsidR="000B36E1" w:rsidRPr="00911BD5" w:rsidRDefault="00DD2FFF">
            <w:pPr>
              <w:rPr>
                <w:rFonts w:asciiTheme="majorHAnsi" w:eastAsia="Play" w:hAnsiTheme="majorHAnsi" w:cs="Play"/>
              </w:rPr>
            </w:pPr>
            <w:r w:rsidRPr="00911BD5">
              <w:rPr>
                <w:rFonts w:asciiTheme="majorHAnsi" w:eastAsia="Play" w:hAnsiTheme="majorHAnsi" w:cs="Play"/>
              </w:rPr>
              <w:t>Actual reuse rate (% of listed devices diverted from waste)</w:t>
            </w:r>
          </w:p>
        </w:tc>
        <w:tc>
          <w:tcPr>
            <w:tcW w:w="1203" w:type="dxa"/>
            <w:tcBorders>
              <w:top w:val="single" w:sz="4" w:space="0" w:color="000000"/>
              <w:left w:val="single" w:sz="4" w:space="0" w:color="000000"/>
              <w:bottom w:val="single" w:sz="4" w:space="0" w:color="000000"/>
            </w:tcBorders>
          </w:tcPr>
          <w:p w14:paraId="218172E7" w14:textId="3157F517" w:rsidR="000B36E1" w:rsidRPr="00911BD5" w:rsidRDefault="008E5BD2">
            <w:pPr>
              <w:rPr>
                <w:rFonts w:asciiTheme="majorHAnsi" w:eastAsia="Play" w:hAnsiTheme="majorHAnsi" w:cs="Play"/>
              </w:rPr>
            </w:pPr>
            <w:r w:rsidRPr="00911BD5">
              <w:rPr>
                <w:rFonts w:asciiTheme="majorHAnsi" w:eastAsia="Play" w:hAnsiTheme="majorHAnsi" w:cs="Play"/>
              </w:rPr>
              <w:t>40% – 60% of assessed stock</w:t>
            </w:r>
          </w:p>
        </w:tc>
        <w:tc>
          <w:tcPr>
            <w:tcW w:w="1266" w:type="dxa"/>
            <w:tcBorders>
              <w:top w:val="single" w:sz="4" w:space="0" w:color="000000"/>
              <w:left w:val="single" w:sz="4" w:space="0" w:color="000000"/>
              <w:bottom w:val="single" w:sz="4" w:space="0" w:color="000000"/>
            </w:tcBorders>
          </w:tcPr>
          <w:p w14:paraId="7E21C4C2" w14:textId="2E04A42B" w:rsidR="000B36E1" w:rsidRPr="00911BD5" w:rsidRDefault="00000000">
            <w:pPr>
              <w:rPr>
                <w:rFonts w:asciiTheme="majorHAnsi" w:eastAsia="Play" w:hAnsiTheme="majorHAnsi" w:cs="Play"/>
              </w:rPr>
            </w:pPr>
            <w:r w:rsidRPr="00911BD5">
              <w:rPr>
                <w:rFonts w:asciiTheme="majorHAnsi" w:eastAsia="Play" w:hAnsiTheme="majorHAnsi" w:cs="Play"/>
              </w:rPr>
              <w:t>Quarterly</w:t>
            </w:r>
          </w:p>
        </w:tc>
        <w:tc>
          <w:tcPr>
            <w:tcW w:w="1686" w:type="dxa"/>
            <w:tcBorders>
              <w:top w:val="single" w:sz="4" w:space="0" w:color="000000"/>
              <w:left w:val="single" w:sz="4" w:space="0" w:color="000000"/>
              <w:bottom w:val="single" w:sz="4" w:space="0" w:color="000000"/>
            </w:tcBorders>
          </w:tcPr>
          <w:p w14:paraId="70863332" w14:textId="4619250C" w:rsidR="000B36E1" w:rsidRPr="00911BD5" w:rsidRDefault="008E5BD2">
            <w:pPr>
              <w:rPr>
                <w:rFonts w:asciiTheme="majorHAnsi" w:eastAsia="Play" w:hAnsiTheme="majorHAnsi" w:cs="Play"/>
              </w:rPr>
            </w:pPr>
            <w:r w:rsidRPr="00911BD5">
              <w:rPr>
                <w:rFonts w:asciiTheme="majorHAnsi" w:eastAsia="Play" w:hAnsiTheme="majorHAnsi" w:cs="Play"/>
              </w:rPr>
              <w:t>Refurbishment hub reports / Platform logs.</w:t>
            </w:r>
          </w:p>
        </w:tc>
      </w:tr>
      <w:tr w:rsidR="000B36E1" w:rsidRPr="00911BD5" w14:paraId="36321908" w14:textId="77777777">
        <w:trPr>
          <w:cantSplit/>
          <w:jc w:val="center"/>
        </w:trPr>
        <w:tc>
          <w:tcPr>
            <w:tcW w:w="1404" w:type="dxa"/>
            <w:tcBorders>
              <w:top w:val="single" w:sz="4" w:space="0" w:color="000000"/>
              <w:bottom w:val="single" w:sz="4" w:space="0" w:color="000000"/>
            </w:tcBorders>
          </w:tcPr>
          <w:p w14:paraId="73C1D5DD"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lastRenderedPageBreak/>
              <w:t>Impact</w:t>
            </w:r>
          </w:p>
        </w:tc>
        <w:tc>
          <w:tcPr>
            <w:tcW w:w="3125" w:type="dxa"/>
            <w:tcBorders>
              <w:top w:val="single" w:sz="4" w:space="0" w:color="000000"/>
              <w:left w:val="single" w:sz="4" w:space="0" w:color="000000"/>
              <w:bottom w:val="single" w:sz="4" w:space="0" w:color="000000"/>
            </w:tcBorders>
          </w:tcPr>
          <w:p w14:paraId="6E36620A" w14:textId="2A3743D5" w:rsidR="000B36E1" w:rsidRPr="00911BD5" w:rsidRDefault="00DD2FFF">
            <w:pPr>
              <w:rPr>
                <w:rFonts w:asciiTheme="majorHAnsi" w:eastAsia="Play" w:hAnsiTheme="majorHAnsi" w:cs="Play"/>
              </w:rPr>
            </w:pPr>
            <w:r w:rsidRPr="00911BD5">
              <w:rPr>
                <w:rFonts w:asciiTheme="majorHAnsi" w:eastAsia="Play" w:hAnsiTheme="majorHAnsi" w:cs="Play"/>
              </w:rPr>
              <w:t>CO2 emissions avoided and student vocational training hours achieved</w:t>
            </w:r>
          </w:p>
        </w:tc>
        <w:tc>
          <w:tcPr>
            <w:tcW w:w="1203" w:type="dxa"/>
            <w:tcBorders>
              <w:top w:val="single" w:sz="4" w:space="0" w:color="000000"/>
              <w:left w:val="single" w:sz="4" w:space="0" w:color="000000"/>
              <w:bottom w:val="single" w:sz="4" w:space="0" w:color="000000"/>
            </w:tcBorders>
          </w:tcPr>
          <w:p w14:paraId="375C030F" w14:textId="7C1B15BE" w:rsidR="000B36E1" w:rsidRPr="00911BD5" w:rsidRDefault="008E5BD2">
            <w:pPr>
              <w:rPr>
                <w:rFonts w:asciiTheme="majorHAnsi" w:eastAsia="Play" w:hAnsiTheme="majorHAnsi" w:cs="Play"/>
              </w:rPr>
            </w:pPr>
            <w:r w:rsidRPr="00911BD5">
              <w:rPr>
                <w:rFonts w:asciiTheme="majorHAnsi" w:eastAsia="Play" w:hAnsiTheme="majorHAnsi" w:cs="Play"/>
              </w:rPr>
              <w:t>2.5 tons CO2 eq</w:t>
            </w:r>
          </w:p>
        </w:tc>
        <w:tc>
          <w:tcPr>
            <w:tcW w:w="1266" w:type="dxa"/>
            <w:tcBorders>
              <w:top w:val="single" w:sz="4" w:space="0" w:color="000000"/>
              <w:left w:val="single" w:sz="4" w:space="0" w:color="000000"/>
              <w:bottom w:val="single" w:sz="4" w:space="0" w:color="000000"/>
            </w:tcBorders>
          </w:tcPr>
          <w:p w14:paraId="5FEE1FCD" w14:textId="1300A23B" w:rsidR="000B36E1" w:rsidRPr="00911BD5" w:rsidRDefault="008E5BD2">
            <w:pPr>
              <w:rPr>
                <w:rFonts w:asciiTheme="majorHAnsi" w:eastAsia="Play" w:hAnsiTheme="majorHAnsi" w:cs="Play"/>
              </w:rPr>
            </w:pPr>
            <w:r w:rsidRPr="00911BD5">
              <w:rPr>
                <w:rFonts w:asciiTheme="majorHAnsi" w:eastAsia="Play" w:hAnsiTheme="majorHAnsi" w:cs="Play"/>
              </w:rPr>
              <w:t>Annual</w:t>
            </w:r>
          </w:p>
        </w:tc>
        <w:tc>
          <w:tcPr>
            <w:tcW w:w="1686" w:type="dxa"/>
            <w:tcBorders>
              <w:top w:val="single" w:sz="4" w:space="0" w:color="000000"/>
              <w:left w:val="single" w:sz="4" w:space="0" w:color="000000"/>
              <w:bottom w:val="single" w:sz="4" w:space="0" w:color="000000"/>
            </w:tcBorders>
          </w:tcPr>
          <w:p w14:paraId="4D46F501" w14:textId="0F3EF5B1" w:rsidR="000B36E1" w:rsidRPr="00911BD5" w:rsidRDefault="008E5BD2">
            <w:pPr>
              <w:rPr>
                <w:rFonts w:asciiTheme="majorHAnsi" w:eastAsia="Play" w:hAnsiTheme="majorHAnsi" w:cs="Play"/>
              </w:rPr>
            </w:pPr>
            <w:r w:rsidRPr="00911BD5">
              <w:rPr>
                <w:rFonts w:asciiTheme="majorHAnsi" w:eastAsia="Play" w:hAnsiTheme="majorHAnsi" w:cs="Play"/>
              </w:rPr>
              <w:t>Lifecycle assessment calculations.</w:t>
            </w:r>
          </w:p>
        </w:tc>
      </w:tr>
      <w:tr w:rsidR="000B36E1" w:rsidRPr="00911BD5" w14:paraId="0B7CF751" w14:textId="77777777">
        <w:trPr>
          <w:cantSplit/>
          <w:jc w:val="center"/>
        </w:trPr>
        <w:tc>
          <w:tcPr>
            <w:tcW w:w="1404" w:type="dxa"/>
            <w:tcBorders>
              <w:top w:val="single" w:sz="4" w:space="0" w:color="000000"/>
              <w:bottom w:val="single" w:sz="4" w:space="0" w:color="000000"/>
            </w:tcBorders>
          </w:tcPr>
          <w:p w14:paraId="3AF71070" w14:textId="77777777" w:rsidR="000B36E1" w:rsidRPr="00911BD5" w:rsidRDefault="00000000">
            <w:pPr>
              <w:rPr>
                <w:rFonts w:asciiTheme="majorHAnsi" w:eastAsia="Play" w:hAnsiTheme="majorHAnsi" w:cs="Play"/>
              </w:rPr>
            </w:pPr>
            <w:r w:rsidRPr="00911BD5">
              <w:rPr>
                <w:rFonts w:asciiTheme="majorHAnsi" w:eastAsia="Play" w:hAnsiTheme="majorHAnsi" w:cs="Play"/>
                <w:b/>
                <w:bCs/>
              </w:rPr>
              <w:t>Behavior</w:t>
            </w:r>
          </w:p>
        </w:tc>
        <w:tc>
          <w:tcPr>
            <w:tcW w:w="3125" w:type="dxa"/>
            <w:tcBorders>
              <w:top w:val="single" w:sz="4" w:space="0" w:color="000000"/>
              <w:left w:val="single" w:sz="4" w:space="0" w:color="000000"/>
              <w:bottom w:val="single" w:sz="4" w:space="0" w:color="000000"/>
            </w:tcBorders>
          </w:tcPr>
          <w:p w14:paraId="333E6BEF" w14:textId="21B40619" w:rsidR="000B36E1" w:rsidRPr="00911BD5" w:rsidRDefault="00DD2FFF">
            <w:pPr>
              <w:rPr>
                <w:rFonts w:asciiTheme="majorHAnsi" w:eastAsia="Play" w:hAnsiTheme="majorHAnsi" w:cs="Play"/>
              </w:rPr>
            </w:pPr>
            <w:r w:rsidRPr="00911BD5">
              <w:rPr>
                <w:rFonts w:asciiTheme="majorHAnsi" w:eastAsia="Play" w:hAnsiTheme="majorHAnsi" w:cs="Play"/>
              </w:rPr>
              <w:t>Stakeholder satisfaction rate and municipal engagement level</w:t>
            </w:r>
          </w:p>
        </w:tc>
        <w:tc>
          <w:tcPr>
            <w:tcW w:w="1203" w:type="dxa"/>
            <w:tcBorders>
              <w:top w:val="single" w:sz="4" w:space="0" w:color="000000"/>
              <w:left w:val="single" w:sz="4" w:space="0" w:color="000000"/>
              <w:bottom w:val="single" w:sz="4" w:space="0" w:color="000000"/>
            </w:tcBorders>
          </w:tcPr>
          <w:p w14:paraId="7CBF8218" w14:textId="2E1E79B2" w:rsidR="000B36E1" w:rsidRPr="00911BD5" w:rsidRDefault="008E5BD2">
            <w:pPr>
              <w:rPr>
                <w:rFonts w:asciiTheme="majorHAnsi" w:eastAsia="Play" w:hAnsiTheme="majorHAnsi" w:cs="Play"/>
              </w:rPr>
            </w:pPr>
            <w:r w:rsidRPr="00911BD5">
              <w:rPr>
                <w:rFonts w:asciiTheme="majorHAnsi" w:eastAsia="Play" w:hAnsiTheme="majorHAnsi" w:cs="Play"/>
              </w:rPr>
              <w:t>&gt; 80%</w:t>
            </w:r>
          </w:p>
        </w:tc>
        <w:tc>
          <w:tcPr>
            <w:tcW w:w="1266" w:type="dxa"/>
            <w:tcBorders>
              <w:top w:val="single" w:sz="4" w:space="0" w:color="000000"/>
              <w:left w:val="single" w:sz="4" w:space="0" w:color="000000"/>
              <w:bottom w:val="single" w:sz="4" w:space="0" w:color="000000"/>
            </w:tcBorders>
          </w:tcPr>
          <w:p w14:paraId="59EEBD7E" w14:textId="34CF186A" w:rsidR="000B36E1" w:rsidRPr="00911BD5" w:rsidRDefault="008E5BD2">
            <w:pPr>
              <w:rPr>
                <w:rFonts w:asciiTheme="majorHAnsi" w:eastAsia="Play" w:hAnsiTheme="majorHAnsi" w:cs="Play"/>
              </w:rPr>
            </w:pPr>
            <w:r w:rsidRPr="00911BD5">
              <w:rPr>
                <w:rFonts w:asciiTheme="majorHAnsi" w:eastAsia="Play" w:hAnsiTheme="majorHAnsi" w:cs="Play"/>
              </w:rPr>
              <w:t>Biannual</w:t>
            </w:r>
          </w:p>
        </w:tc>
        <w:tc>
          <w:tcPr>
            <w:tcW w:w="1686" w:type="dxa"/>
            <w:tcBorders>
              <w:top w:val="single" w:sz="4" w:space="0" w:color="000000"/>
              <w:left w:val="single" w:sz="4" w:space="0" w:color="000000"/>
              <w:bottom w:val="single" w:sz="4" w:space="0" w:color="000000"/>
            </w:tcBorders>
          </w:tcPr>
          <w:p w14:paraId="36E85E78" w14:textId="78FA1414" w:rsidR="000B36E1" w:rsidRPr="00911BD5" w:rsidRDefault="008E5BD2">
            <w:pPr>
              <w:rPr>
                <w:rFonts w:asciiTheme="majorHAnsi" w:eastAsia="Play" w:hAnsiTheme="majorHAnsi" w:cs="Play"/>
              </w:rPr>
            </w:pPr>
            <w:r w:rsidRPr="00911BD5">
              <w:rPr>
                <w:rFonts w:asciiTheme="majorHAnsi" w:eastAsia="Play" w:hAnsiTheme="majorHAnsi" w:cs="Play"/>
              </w:rPr>
              <w:t>Surveys of schools and municipalities</w:t>
            </w:r>
          </w:p>
        </w:tc>
      </w:tr>
    </w:tbl>
    <w:p w14:paraId="54288A1C" w14:textId="77777777" w:rsidR="000B36E1" w:rsidRPr="00911BD5" w:rsidRDefault="000B36E1">
      <w:pPr>
        <w:rPr>
          <w:rFonts w:asciiTheme="majorHAnsi" w:eastAsia="Play" w:hAnsiTheme="majorHAnsi" w:cs="Play"/>
        </w:rPr>
      </w:pPr>
    </w:p>
    <w:p w14:paraId="32472A0A" w14:textId="77777777" w:rsidR="000B36E1" w:rsidRPr="00911BD5" w:rsidRDefault="00000000">
      <w:pPr>
        <w:spacing w:before="240" w:line="271" w:lineRule="auto"/>
        <w:rPr>
          <w:rFonts w:asciiTheme="majorHAnsi" w:eastAsia="Play" w:hAnsiTheme="majorHAnsi" w:cs="Play"/>
        </w:rPr>
      </w:pPr>
      <w:bookmarkStart w:id="29" w:name="bookmark=id.y9aco2gbu0ea" w:colFirst="0" w:colLast="0"/>
      <w:bookmarkEnd w:id="29"/>
      <w:r w:rsidRPr="00911BD5">
        <w:rPr>
          <w:rFonts w:asciiTheme="majorHAnsi" w:eastAsia="Play" w:hAnsiTheme="majorHAnsi" w:cs="Play"/>
          <w:b/>
          <w:bCs/>
          <w:sz w:val="33"/>
          <w:szCs w:val="33"/>
        </w:rPr>
        <w:t>9.2 Adaptation Notes by Territory Type</w:t>
      </w:r>
    </w:p>
    <w:p w14:paraId="195F0A09" w14:textId="77777777" w:rsidR="00325505" w:rsidRPr="00911BD5" w:rsidRDefault="00325505" w:rsidP="00325505">
      <w:pPr>
        <w:spacing w:after="210"/>
        <w:rPr>
          <w:rFonts w:asciiTheme="majorHAnsi" w:eastAsia="Play" w:hAnsiTheme="majorHAnsi" w:cs="Play"/>
          <w:lang w:val="en-US"/>
        </w:rPr>
      </w:pPr>
      <w:r w:rsidRPr="00911BD5">
        <w:rPr>
          <w:rFonts w:asciiTheme="majorHAnsi" w:eastAsia="Play" w:hAnsiTheme="majorHAnsi" w:cs="Play"/>
          <w:lang w:val="en-US"/>
        </w:rPr>
        <w:t>The method of data collection should be adapted based on the territorial context to ensure accuracy and minimize administrative burden:</w:t>
      </w:r>
    </w:p>
    <w:p w14:paraId="6E10AE85" w14:textId="77777777" w:rsidR="00325505" w:rsidRPr="00911BD5" w:rsidRDefault="00325505" w:rsidP="00325505">
      <w:pPr>
        <w:numPr>
          <w:ilvl w:val="0"/>
          <w:numId w:val="19"/>
        </w:numPr>
        <w:spacing w:after="210"/>
        <w:rPr>
          <w:rFonts w:asciiTheme="majorHAnsi" w:eastAsia="Play" w:hAnsiTheme="majorHAnsi" w:cs="Play"/>
          <w:lang w:val="es-ES"/>
        </w:rPr>
      </w:pPr>
      <w:r w:rsidRPr="00911BD5">
        <w:rPr>
          <w:rFonts w:asciiTheme="majorHAnsi" w:eastAsia="Play" w:hAnsiTheme="majorHAnsi" w:cs="Play"/>
          <w:b/>
          <w:bCs/>
          <w:lang w:val="es-ES"/>
        </w:rPr>
        <w:t>Urban / Centralized Territories (e.g., Marche Region model):</w:t>
      </w:r>
    </w:p>
    <w:p w14:paraId="11040773" w14:textId="77777777" w:rsidR="00325505" w:rsidRPr="00911BD5" w:rsidRDefault="00325505" w:rsidP="00325505">
      <w:pPr>
        <w:numPr>
          <w:ilvl w:val="1"/>
          <w:numId w:val="19"/>
        </w:numPr>
        <w:spacing w:after="210"/>
        <w:rPr>
          <w:rFonts w:asciiTheme="majorHAnsi" w:eastAsia="Play" w:hAnsiTheme="majorHAnsi" w:cs="Play"/>
          <w:lang w:val="en-US"/>
        </w:rPr>
      </w:pPr>
      <w:r w:rsidRPr="00911BD5">
        <w:rPr>
          <w:rFonts w:asciiTheme="majorHAnsi" w:eastAsia="Play" w:hAnsiTheme="majorHAnsi" w:cs="Play"/>
          <w:lang w:val="en-US"/>
        </w:rPr>
        <w:t>Tracking: Monitoring is best handled via a centralized regional inventory system (Economato).</w:t>
      </w:r>
    </w:p>
    <w:p w14:paraId="629E863D" w14:textId="77777777" w:rsidR="00325505" w:rsidRPr="00911BD5" w:rsidRDefault="00325505" w:rsidP="00325505">
      <w:pPr>
        <w:numPr>
          <w:ilvl w:val="1"/>
          <w:numId w:val="19"/>
        </w:numPr>
        <w:spacing w:after="210"/>
        <w:rPr>
          <w:rFonts w:asciiTheme="majorHAnsi" w:eastAsia="Play" w:hAnsiTheme="majorHAnsi" w:cs="Play"/>
          <w:lang w:val="en-US"/>
        </w:rPr>
      </w:pPr>
      <w:r w:rsidRPr="00911BD5">
        <w:rPr>
          <w:rFonts w:asciiTheme="majorHAnsi" w:eastAsia="Play" w:hAnsiTheme="majorHAnsi" w:cs="Play"/>
          <w:lang w:val="en-US"/>
        </w:rPr>
        <w:t>Data Flow: Output tracking is highly feasible through existing public accounting systems, as the flow of assets is controlled by a single regional authority.</w:t>
      </w:r>
    </w:p>
    <w:p w14:paraId="7690CC97" w14:textId="77777777" w:rsidR="00325505" w:rsidRPr="00911BD5" w:rsidRDefault="00325505" w:rsidP="00325505">
      <w:pPr>
        <w:numPr>
          <w:ilvl w:val="0"/>
          <w:numId w:val="19"/>
        </w:numPr>
        <w:spacing w:after="210"/>
        <w:rPr>
          <w:rFonts w:asciiTheme="majorHAnsi" w:eastAsia="Play" w:hAnsiTheme="majorHAnsi" w:cs="Play"/>
          <w:lang w:val="es-ES"/>
        </w:rPr>
      </w:pPr>
      <w:r w:rsidRPr="00911BD5">
        <w:rPr>
          <w:rFonts w:asciiTheme="majorHAnsi" w:eastAsia="Play" w:hAnsiTheme="majorHAnsi" w:cs="Play"/>
          <w:b/>
          <w:bCs/>
          <w:lang w:val="es-ES"/>
        </w:rPr>
        <w:t>Rural / Decentralized Territories (e.g., Varna Region model):</w:t>
      </w:r>
    </w:p>
    <w:p w14:paraId="2C05B56B" w14:textId="77777777" w:rsidR="00325505" w:rsidRPr="00911BD5" w:rsidRDefault="00325505" w:rsidP="00325505">
      <w:pPr>
        <w:numPr>
          <w:ilvl w:val="1"/>
          <w:numId w:val="19"/>
        </w:numPr>
        <w:spacing w:after="210"/>
        <w:rPr>
          <w:rFonts w:asciiTheme="majorHAnsi" w:eastAsia="Play" w:hAnsiTheme="majorHAnsi" w:cs="Play"/>
          <w:lang w:val="en-US"/>
        </w:rPr>
      </w:pPr>
      <w:r w:rsidRPr="00911BD5">
        <w:rPr>
          <w:rFonts w:asciiTheme="majorHAnsi" w:eastAsia="Play" w:hAnsiTheme="majorHAnsi" w:cs="Play"/>
          <w:lang w:val="en-US"/>
        </w:rPr>
        <w:t>Tracking: Monitoring relies on the digital exchange platform (EESwap/TechSwap).</w:t>
      </w:r>
    </w:p>
    <w:p w14:paraId="720D8762" w14:textId="77777777" w:rsidR="00325505" w:rsidRPr="00911BD5" w:rsidRDefault="00325505" w:rsidP="00325505">
      <w:pPr>
        <w:numPr>
          <w:ilvl w:val="1"/>
          <w:numId w:val="19"/>
        </w:numPr>
        <w:spacing w:after="210"/>
        <w:rPr>
          <w:rFonts w:asciiTheme="majorHAnsi" w:eastAsia="Play" w:hAnsiTheme="majorHAnsi" w:cs="Play"/>
          <w:lang w:val="en-US"/>
        </w:rPr>
      </w:pPr>
      <w:r w:rsidRPr="00911BD5">
        <w:rPr>
          <w:rFonts w:asciiTheme="majorHAnsi" w:eastAsia="Play" w:hAnsiTheme="majorHAnsi" w:cs="Play"/>
          <w:lang w:val="en-US"/>
        </w:rPr>
        <w:t>Data Flow: Automated analytics from the platform (e.g., listing counts, interaction rates, successful exchanges) should be used to track performance across multiple smaller municipalities.</w:t>
      </w:r>
    </w:p>
    <w:p w14:paraId="0C0FBFAD" w14:textId="77777777" w:rsidR="00325505" w:rsidRPr="00911BD5" w:rsidRDefault="00325505" w:rsidP="00325505">
      <w:pPr>
        <w:numPr>
          <w:ilvl w:val="0"/>
          <w:numId w:val="19"/>
        </w:numPr>
        <w:spacing w:after="210"/>
        <w:rPr>
          <w:rFonts w:asciiTheme="majorHAnsi" w:eastAsia="Play" w:hAnsiTheme="majorHAnsi" w:cs="Play"/>
          <w:lang w:val="es-ES"/>
        </w:rPr>
      </w:pPr>
      <w:r w:rsidRPr="00911BD5">
        <w:rPr>
          <w:rFonts w:asciiTheme="majorHAnsi" w:eastAsia="Play" w:hAnsiTheme="majorHAnsi" w:cs="Play"/>
          <w:b/>
          <w:bCs/>
          <w:lang w:val="es-ES"/>
        </w:rPr>
        <w:t>Low-Resource Territories:</w:t>
      </w:r>
    </w:p>
    <w:p w14:paraId="53391A1A" w14:textId="77777777" w:rsidR="00325505" w:rsidRPr="00911BD5" w:rsidRDefault="00325505" w:rsidP="00325505">
      <w:pPr>
        <w:numPr>
          <w:ilvl w:val="1"/>
          <w:numId w:val="19"/>
        </w:numPr>
        <w:spacing w:after="210"/>
        <w:rPr>
          <w:rFonts w:asciiTheme="majorHAnsi" w:eastAsia="Play" w:hAnsiTheme="majorHAnsi" w:cs="Play"/>
          <w:lang w:val="en-US"/>
        </w:rPr>
      </w:pPr>
      <w:r w:rsidRPr="00911BD5">
        <w:rPr>
          <w:rFonts w:asciiTheme="majorHAnsi" w:eastAsia="Play" w:hAnsiTheme="majorHAnsi" w:cs="Play"/>
          <w:lang w:val="en-US"/>
        </w:rPr>
        <w:t>Frequency: While monthly tracking is ideal for urban areas, quarterly or biannual tracking is recommended for rural or low-resource contexts where manual surveys may be required to verify the final social delivery of hardware</w:t>
      </w:r>
    </w:p>
    <w:p w14:paraId="13F14E74" w14:textId="77777777" w:rsidR="00325505" w:rsidRPr="00911BD5" w:rsidRDefault="00325505">
      <w:pPr>
        <w:spacing w:after="210"/>
        <w:rPr>
          <w:rFonts w:asciiTheme="majorHAnsi" w:eastAsia="Play" w:hAnsiTheme="majorHAnsi" w:cs="Play"/>
        </w:rPr>
      </w:pPr>
    </w:p>
    <w:p w14:paraId="4F2FDEE9" w14:textId="77777777" w:rsidR="000B36E1" w:rsidRPr="00911BD5" w:rsidRDefault="007C558F">
      <w:pPr>
        <w:rPr>
          <w:rFonts w:asciiTheme="majorHAnsi" w:eastAsia="Play" w:hAnsiTheme="majorHAnsi" w:cs="Play"/>
        </w:rPr>
      </w:pPr>
      <w:r>
        <w:rPr>
          <w:rFonts w:asciiTheme="majorHAnsi" w:hAnsiTheme="majorHAnsi"/>
          <w:noProof/>
        </w:rPr>
        <w:pict w14:anchorId="039C1936">
          <v:rect id="_x0000_i1026" alt="" style="width:353.25pt;height:.05pt;mso-width-percent:0;mso-height-percent:0;mso-width-percent:0;mso-height-percent:0" o:hrpct="733" o:hralign="center" o:hrstd="t" o:hr="t" fillcolor="#a0a0a0" stroked="f"/>
        </w:pict>
      </w:r>
    </w:p>
    <w:p w14:paraId="7A877DA9" w14:textId="77777777" w:rsidR="000B36E1" w:rsidRPr="00911BD5" w:rsidRDefault="00000000">
      <w:pPr>
        <w:spacing w:before="240" w:line="271" w:lineRule="auto"/>
        <w:rPr>
          <w:rFonts w:asciiTheme="majorHAnsi" w:eastAsia="Play" w:hAnsiTheme="majorHAnsi" w:cs="Play"/>
        </w:rPr>
      </w:pPr>
      <w:bookmarkStart w:id="30" w:name="bookmark=id.7ypu6php3uxs" w:colFirst="0" w:colLast="0"/>
      <w:bookmarkEnd w:id="30"/>
      <w:r w:rsidRPr="00911BD5">
        <w:rPr>
          <w:rFonts w:asciiTheme="majorHAnsi" w:eastAsia="Play" w:hAnsiTheme="majorHAnsi" w:cs="Play"/>
          <w:b/>
          <w:bCs/>
          <w:sz w:val="42"/>
          <w:szCs w:val="42"/>
        </w:rPr>
        <w:t>APPENDIX: HOW THIS SHEET FEEDS D.3.4.1</w:t>
      </w:r>
    </w:p>
    <w:p w14:paraId="3AECC79D" w14:textId="77777777" w:rsidR="000B36E1" w:rsidRPr="00911BD5" w:rsidRDefault="00000000">
      <w:pPr>
        <w:spacing w:after="210"/>
        <w:rPr>
          <w:rFonts w:asciiTheme="majorHAnsi" w:eastAsia="Play" w:hAnsiTheme="majorHAnsi" w:cs="Play"/>
        </w:rPr>
      </w:pPr>
      <w:r w:rsidRPr="00911BD5">
        <w:rPr>
          <w:rFonts w:asciiTheme="majorHAnsi" w:eastAsia="Play" w:hAnsiTheme="majorHAnsi" w:cs="Play"/>
        </w:rPr>
        <w:t>This Solution Sheet provides UCPB with:</w:t>
      </w:r>
    </w:p>
    <w:p w14:paraId="28B29865" w14:textId="77777777" w:rsidR="000B36E1" w:rsidRPr="00911BD5" w:rsidRDefault="00000000">
      <w:pPr>
        <w:numPr>
          <w:ilvl w:val="0"/>
          <w:numId w:val="2"/>
        </w:numPr>
        <w:spacing w:after="210"/>
        <w:rPr>
          <w:rFonts w:asciiTheme="majorHAnsi" w:eastAsia="Play" w:hAnsiTheme="majorHAnsi" w:cs="Play"/>
        </w:rPr>
      </w:pPr>
      <w:r w:rsidRPr="00911BD5">
        <w:rPr>
          <w:rFonts w:asciiTheme="majorHAnsi" w:eastAsia="Play" w:hAnsiTheme="majorHAnsi" w:cs="Play"/>
          <w:b/>
          <w:bCs/>
        </w:rPr>
        <w:t>For Transferability Matrix:</w:t>
      </w:r>
    </w:p>
    <w:p w14:paraId="668D23AB" w14:textId="77777777" w:rsidR="000B36E1" w:rsidRPr="00911BD5" w:rsidRDefault="00000000">
      <w:pPr>
        <w:numPr>
          <w:ilvl w:val="1"/>
          <w:numId w:val="2"/>
        </w:numPr>
        <w:rPr>
          <w:rFonts w:asciiTheme="majorHAnsi" w:eastAsia="Play" w:hAnsiTheme="majorHAnsi" w:cs="Play"/>
        </w:rPr>
      </w:pPr>
      <w:sdt>
        <w:sdtPr>
          <w:rPr>
            <w:rFonts w:asciiTheme="majorHAnsi" w:hAnsiTheme="majorHAnsi"/>
          </w:rPr>
          <w:tag w:val="goog_rdk_26"/>
          <w:id w:val="2087279837"/>
        </w:sdtPr>
        <w:sdtContent>
          <w:r w:rsidRPr="00911BD5">
            <w:rPr>
              <w:rFonts w:asciiTheme="majorHAnsi" w:eastAsia="Arial Unicode MS" w:hAnsiTheme="majorHAnsi" w:cs="Arial Unicode MS"/>
            </w:rPr>
            <w:t>Sections 5–6 (Target profile, feasibility, barriers) → Scoring matrix rows per solution</w:t>
          </w:r>
        </w:sdtContent>
      </w:sdt>
    </w:p>
    <w:p w14:paraId="4F9E542D" w14:textId="77777777" w:rsidR="000B36E1" w:rsidRPr="00911BD5" w:rsidRDefault="00000000">
      <w:pPr>
        <w:numPr>
          <w:ilvl w:val="0"/>
          <w:numId w:val="2"/>
        </w:numPr>
        <w:spacing w:after="210"/>
        <w:rPr>
          <w:rFonts w:asciiTheme="majorHAnsi" w:eastAsia="Play" w:hAnsiTheme="majorHAnsi" w:cs="Play"/>
        </w:rPr>
      </w:pPr>
      <w:r w:rsidRPr="00911BD5">
        <w:rPr>
          <w:rFonts w:asciiTheme="majorHAnsi" w:eastAsia="Play" w:hAnsiTheme="majorHAnsi" w:cs="Play"/>
          <w:b/>
          <w:bCs/>
        </w:rPr>
        <w:t>For Adaptation Roadmap:</w:t>
      </w:r>
    </w:p>
    <w:p w14:paraId="08102242" w14:textId="77777777" w:rsidR="000B36E1" w:rsidRPr="00911BD5" w:rsidRDefault="00000000">
      <w:pPr>
        <w:numPr>
          <w:ilvl w:val="1"/>
          <w:numId w:val="2"/>
        </w:numPr>
        <w:rPr>
          <w:rFonts w:asciiTheme="majorHAnsi" w:eastAsia="Play" w:hAnsiTheme="majorHAnsi" w:cs="Play"/>
        </w:rPr>
      </w:pPr>
      <w:sdt>
        <w:sdtPr>
          <w:rPr>
            <w:rFonts w:asciiTheme="majorHAnsi" w:hAnsiTheme="majorHAnsi"/>
          </w:rPr>
          <w:tag w:val="goog_rdk_27"/>
          <w:id w:val="953177638"/>
        </w:sdtPr>
        <w:sdtContent>
          <w:r w:rsidRPr="00911BD5">
            <w:rPr>
              <w:rFonts w:asciiTheme="majorHAnsi" w:eastAsia="Arial Unicode MS" w:hAnsiTheme="majorHAnsi" w:cs="Arial Unicode MS"/>
            </w:rPr>
            <w:t>Section 7 (Core model, adaptation elements, timeline) → Roadmap phases per solution</w:t>
          </w:r>
        </w:sdtContent>
      </w:sdt>
    </w:p>
    <w:p w14:paraId="6DFF04A2" w14:textId="77777777" w:rsidR="000B36E1" w:rsidRPr="00911BD5" w:rsidRDefault="00000000">
      <w:pPr>
        <w:numPr>
          <w:ilvl w:val="0"/>
          <w:numId w:val="2"/>
        </w:numPr>
        <w:spacing w:after="210"/>
        <w:rPr>
          <w:rFonts w:asciiTheme="majorHAnsi" w:eastAsia="Play" w:hAnsiTheme="majorHAnsi" w:cs="Play"/>
        </w:rPr>
      </w:pPr>
      <w:r w:rsidRPr="00911BD5">
        <w:rPr>
          <w:rFonts w:asciiTheme="majorHAnsi" w:eastAsia="Play" w:hAnsiTheme="majorHAnsi" w:cs="Play"/>
          <w:b/>
          <w:bCs/>
        </w:rPr>
        <w:lastRenderedPageBreak/>
        <w:t>For Factsheets:</w:t>
      </w:r>
    </w:p>
    <w:p w14:paraId="6B619FB4" w14:textId="77777777" w:rsidR="000B36E1" w:rsidRPr="00911BD5" w:rsidRDefault="00000000">
      <w:pPr>
        <w:numPr>
          <w:ilvl w:val="1"/>
          <w:numId w:val="2"/>
        </w:numPr>
        <w:rPr>
          <w:rFonts w:asciiTheme="majorHAnsi" w:eastAsia="Play" w:hAnsiTheme="majorHAnsi" w:cs="Play"/>
        </w:rPr>
      </w:pPr>
      <w:sdt>
        <w:sdtPr>
          <w:rPr>
            <w:rFonts w:asciiTheme="majorHAnsi" w:hAnsiTheme="majorHAnsi"/>
          </w:rPr>
          <w:tag w:val="goog_rdk_28"/>
          <w:id w:val="47629119"/>
        </w:sdtPr>
        <w:sdtContent>
          <w:r w:rsidRPr="00911BD5">
            <w:rPr>
              <w:rFonts w:asciiTheme="majorHAnsi" w:eastAsia="Arial Unicode MS" w:hAnsiTheme="majorHAnsi" w:cs="Arial Unicode MS"/>
            </w:rPr>
            <w:t>Sections 2–3 (Summary, KPIs) → 1-page factsheet per solution</w:t>
          </w:r>
        </w:sdtContent>
      </w:sdt>
    </w:p>
    <w:p w14:paraId="1B38A91D" w14:textId="77777777" w:rsidR="000B36E1" w:rsidRPr="00911BD5" w:rsidRDefault="00000000">
      <w:pPr>
        <w:numPr>
          <w:ilvl w:val="0"/>
          <w:numId w:val="2"/>
        </w:numPr>
        <w:spacing w:after="210"/>
        <w:rPr>
          <w:rFonts w:asciiTheme="majorHAnsi" w:eastAsia="Play" w:hAnsiTheme="majorHAnsi" w:cs="Play"/>
        </w:rPr>
      </w:pPr>
      <w:r w:rsidRPr="00911BD5">
        <w:rPr>
          <w:rFonts w:asciiTheme="majorHAnsi" w:eastAsia="Play" w:hAnsiTheme="majorHAnsi" w:cs="Play"/>
          <w:b/>
          <w:bCs/>
        </w:rPr>
        <w:t>For Lessons Learned Synthesis:</w:t>
      </w:r>
    </w:p>
    <w:p w14:paraId="67BC8697" w14:textId="77777777" w:rsidR="000B36E1" w:rsidRPr="00911BD5" w:rsidRDefault="00000000">
      <w:pPr>
        <w:numPr>
          <w:ilvl w:val="1"/>
          <w:numId w:val="2"/>
        </w:numPr>
        <w:rPr>
          <w:rFonts w:asciiTheme="majorHAnsi" w:eastAsia="Play" w:hAnsiTheme="majorHAnsi" w:cs="Play"/>
        </w:rPr>
      </w:pPr>
      <w:sdt>
        <w:sdtPr>
          <w:rPr>
            <w:rFonts w:asciiTheme="majorHAnsi" w:hAnsiTheme="majorHAnsi"/>
          </w:rPr>
          <w:tag w:val="goog_rdk_29"/>
          <w:id w:val="518280147"/>
        </w:sdtPr>
        <w:sdtContent>
          <w:r w:rsidRPr="00911BD5">
            <w:rPr>
              <w:rFonts w:asciiTheme="majorHAnsi" w:eastAsia="Arial Unicode MS" w:hAnsiTheme="majorHAnsi" w:cs="Arial Unicode MS"/>
            </w:rPr>
            <w:t>Sections 4, 8 (Success factors, policy recommendations) → Cross-solution learning</w:t>
          </w:r>
        </w:sdtContent>
      </w:sdt>
    </w:p>
    <w:p w14:paraId="46842C84" w14:textId="77777777" w:rsidR="000B36E1" w:rsidRPr="00911BD5" w:rsidRDefault="00000000">
      <w:pPr>
        <w:numPr>
          <w:ilvl w:val="0"/>
          <w:numId w:val="2"/>
        </w:numPr>
        <w:spacing w:after="210"/>
        <w:rPr>
          <w:rFonts w:asciiTheme="majorHAnsi" w:eastAsia="Play" w:hAnsiTheme="majorHAnsi" w:cs="Play"/>
        </w:rPr>
      </w:pPr>
      <w:r w:rsidRPr="00911BD5">
        <w:rPr>
          <w:rFonts w:asciiTheme="majorHAnsi" w:eastAsia="Play" w:hAnsiTheme="majorHAnsi" w:cs="Play"/>
          <w:b/>
          <w:bCs/>
        </w:rPr>
        <w:t>For Future Capitalization Proposal:</w:t>
      </w:r>
    </w:p>
    <w:p w14:paraId="57AC9FBD" w14:textId="77777777" w:rsidR="000B36E1" w:rsidRPr="00911BD5" w:rsidRDefault="00000000">
      <w:pPr>
        <w:numPr>
          <w:ilvl w:val="1"/>
          <w:numId w:val="2"/>
        </w:numPr>
        <w:rPr>
          <w:rFonts w:asciiTheme="majorHAnsi" w:eastAsia="Play" w:hAnsiTheme="majorHAnsi" w:cs="Play"/>
        </w:rPr>
      </w:pPr>
      <w:sdt>
        <w:sdtPr>
          <w:rPr>
            <w:rFonts w:asciiTheme="majorHAnsi" w:hAnsiTheme="majorHAnsi"/>
          </w:rPr>
          <w:tag w:val="goog_rdk_30"/>
          <w:id w:val="1536423195"/>
        </w:sdtPr>
        <w:sdtContent>
          <w:r w:rsidRPr="00911BD5">
            <w:rPr>
              <w:rFonts w:asciiTheme="majorHAnsi" w:eastAsia="Arial Unicode MS" w:hAnsiTheme="majorHAnsi" w:cs="Arial Unicode MS"/>
            </w:rPr>
            <w:t>Sections 7–9 (Timeline, governance, monitoring) → Project design input</w:t>
          </w:r>
        </w:sdtContent>
      </w:sdt>
    </w:p>
    <w:p w14:paraId="1479030F" w14:textId="77777777" w:rsidR="000B36E1" w:rsidRPr="00911BD5" w:rsidRDefault="007C558F">
      <w:pPr>
        <w:rPr>
          <w:rFonts w:asciiTheme="majorHAnsi" w:eastAsia="Play" w:hAnsiTheme="majorHAnsi" w:cs="Play"/>
        </w:rPr>
      </w:pPr>
      <w:r>
        <w:rPr>
          <w:rFonts w:asciiTheme="majorHAnsi" w:hAnsiTheme="majorHAnsi"/>
          <w:noProof/>
        </w:rPr>
        <w:pict w14:anchorId="0CDF6FE7">
          <v:rect id="_x0000_i1025" alt="" style="width:353.25pt;height:.05pt;mso-width-percent:0;mso-height-percent:0;mso-width-percent:0;mso-height-percent:0" o:hrpct="733" o:hralign="center" o:hrstd="t" o:hr="t" fillcolor="#a0a0a0" stroked="f"/>
        </w:pict>
      </w:r>
    </w:p>
    <w:p w14:paraId="02A5B2B0" w14:textId="77777777" w:rsidR="00911BD5" w:rsidRPr="00911BD5" w:rsidRDefault="00911BD5">
      <w:pPr>
        <w:rPr>
          <w:rFonts w:asciiTheme="majorHAnsi" w:eastAsia="Play" w:hAnsiTheme="majorHAnsi" w:cs="Play"/>
        </w:rPr>
      </w:pPr>
    </w:p>
    <w:sectPr w:rsidR="00911BD5" w:rsidRPr="00911BD5">
      <w:pgSz w:w="12240" w:h="15840"/>
      <w:pgMar w:top="1415" w:right="1775" w:bottom="1415" w:left="1775"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embedRegular r:id="rId1" w:fontKey="{D148951F-07D1-7946-9C5D-BAF911706B43}"/>
    <w:embedBold r:id="rId2" w:fontKey="{37824B02-839C-034E-948E-AB4ED87BE144}"/>
  </w:font>
  <w:font w:name="Times New Roman">
    <w:panose1 w:val="02020603050405020304"/>
    <w:charset w:val="00"/>
    <w:family w:val="roman"/>
    <w:pitch w:val="variable"/>
    <w:sig w:usb0="E0002EFF" w:usb1="C000785B" w:usb2="00000009" w:usb3="00000000" w:csb0="000001FF" w:csb1="00000000"/>
    <w:embedRegular r:id="rId3" w:fontKey="{A9259D2C-ED11-9449-80F5-2A27C649ED69}"/>
    <w:embedBold r:id="rId4" w:fontKey="{BB251803-C7CD-AA40-959F-849C5355AB22}"/>
  </w:font>
  <w:font w:name="Play">
    <w:altName w:val="Calibri"/>
    <w:panose1 w:val="040506030A0602020202"/>
    <w:charset w:val="4D"/>
    <w:family w:val="decorative"/>
    <w:pitch w:val="variable"/>
    <w:sig w:usb0="00000003" w:usb1="00000000" w:usb2="00000000" w:usb3="00000000" w:csb0="00000001" w:csb1="00000000"/>
    <w:embedRegular r:id="rId5" w:fontKey="{91D89699-B53F-8C46-A3BE-8F60D5DE05CA}"/>
    <w:embedBold r:id="rId6" w:fontKey="{E250D92A-01D3-7547-AA7E-F2BFDB025F47}"/>
    <w:embedItalic r:id="rId7" w:fontKey="{DF9805A6-3FF9-7342-B7AB-EE9E18C7703B}"/>
  </w:font>
  <w:font w:name="Noto Sans Symbols">
    <w:altName w:val="Calibri"/>
    <w:panose1 w:val="020B0604020202020204"/>
    <w:charset w:val="00"/>
    <w:family w:val="auto"/>
    <w:pitch w:val="variable"/>
    <w:sig w:usb0="00000003" w:usb1="0200E4B4" w:usb2="00000000" w:usb3="00000000" w:csb0="00000001" w:csb1="00000000"/>
  </w:font>
  <w:font w:name="Wingdings">
    <w:panose1 w:val="05000000000000000000"/>
    <w:charset w:val="00"/>
    <w:family w:val="decorative"/>
    <w:pitch w:val="variable"/>
    <w:sig w:usb0="00000003" w:usb1="00000000" w:usb2="00000000" w:usb3="00000000" w:csb0="00000001" w:csb1="00000000"/>
    <w:embedRegular r:id="rId9" w:fontKey="{BFE329C9-430E-A74B-B168-70D31F076885}"/>
  </w:font>
  <w:font w:name="Symbol">
    <w:panose1 w:val="05050102010706020507"/>
    <w:charset w:val="02"/>
    <w:family w:val="decorative"/>
    <w:pitch w:val="variable"/>
    <w:sig w:usb0="00000000" w:usb1="10000000" w:usb2="00000000" w:usb3="00000000" w:csb0="80000000" w:csb1="00000000"/>
    <w:embedRegular r:id="rId10" w:fontKey="{D6A0997E-189B-1043-B372-E1D9AFDE7AB6}"/>
  </w:font>
  <w:font w:name="Georgia">
    <w:panose1 w:val="02040502050405020303"/>
    <w:charset w:val="00"/>
    <w:family w:val="roman"/>
    <w:pitch w:val="variable"/>
    <w:sig w:usb0="00000287" w:usb1="00000000" w:usb2="00000000" w:usb3="00000000" w:csb0="0000009F" w:csb1="00000000"/>
    <w:embedRegular r:id="rId11" w:fontKey="{A42AE3A9-53E8-2741-AE2C-32B7B35A1570}"/>
    <w:embedBold r:id="rId12" w:fontKey="{BFB20880-0DEA-5B4B-A39A-9348E69876BD}"/>
    <w:embedItalic r:id="rId13" w:fontKey="{A073F708-933C-D54F-9EC2-BC9B74DFAF6E}"/>
  </w:font>
  <w:font w:name="Consolas">
    <w:panose1 w:val="020B0609020204030204"/>
    <w:charset w:val="00"/>
    <w:family w:val="modern"/>
    <w:pitch w:val="fixed"/>
    <w:sig w:usb0="E10002FF" w:usb1="4000FCFF" w:usb2="00000009" w:usb3="00000000" w:csb0="0000019F" w:csb1="00000000"/>
    <w:embedRegular r:id="rId14" w:fontKey="{BD93ADE2-5E70-D74D-A9CC-BBEDF88456CF}"/>
  </w:font>
  <w:font w:name="Aptos Display">
    <w:panose1 w:val="020B0004020202020204"/>
    <w:charset w:val="00"/>
    <w:family w:val="swiss"/>
    <w:pitch w:val="variable"/>
    <w:sig w:usb0="20000287" w:usb1="00000003" w:usb2="00000000" w:usb3="00000000" w:csb0="0000019F" w:csb1="00000000"/>
    <w:embedRegular r:id="rId15" w:fontKey="{3192CF92-CB25-8547-9270-6D56DF76BC2C}"/>
    <w:embedBold r:id="rId16" w:fontKey="{F3AAF7FD-FF5F-3F4F-A0FD-9B05F7F85CBA}"/>
    <w:embedItalic r:id="rId17" w:fontKey="{56EC4710-7F85-F74D-B188-3DAA3DF99AD4}"/>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embedRegular r:id="rId18" w:fontKey="{619CE38A-01B5-2E40-A0F1-3168FA0BA664}"/>
  </w:font>
  <w:font w:name="Aptos">
    <w:panose1 w:val="020B0004020202020204"/>
    <w:charset w:val="00"/>
    <w:family w:val="swiss"/>
    <w:pitch w:val="variable"/>
    <w:sig w:usb0="20000287" w:usb1="00000003" w:usb2="00000000" w:usb3="00000000" w:csb0="0000019F" w:csb1="00000000"/>
    <w:embedRegular r:id="rId19" w:fontKey="{10AD61D1-2CE8-CA4C-BC4E-C96268185F0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67C"/>
    <w:multiLevelType w:val="multilevel"/>
    <w:tmpl w:val="F51847C8"/>
    <w:lvl w:ilvl="0">
      <w:start w:val="1"/>
      <w:numFmt w:val="bullet"/>
      <w:lvlText w:val="o"/>
      <w:lvlJc w:val="left"/>
      <w:pPr>
        <w:ind w:left="1188" w:hanging="468"/>
      </w:pPr>
      <w:rPr>
        <w:rFonts w:ascii="Courier New" w:hAnsi="Courier New" w:cs="Courier New" w:hint="default"/>
        <w:b w:val="0"/>
        <w:bCs/>
        <w:sz w:val="21"/>
        <w:szCs w:val="10"/>
      </w:rPr>
    </w:lvl>
    <w:lvl w:ilvl="1">
      <w:start w:val="2"/>
      <w:numFmt w:val="decimal"/>
      <w:lvlText w:val="%1.%2"/>
      <w:lvlJc w:val="left"/>
      <w:pPr>
        <w:ind w:left="1188" w:hanging="468"/>
      </w:pPr>
      <w:rPr>
        <w:rFonts w:hint="default"/>
        <w:b/>
        <w:sz w:val="33"/>
      </w:rPr>
    </w:lvl>
    <w:lvl w:ilvl="2">
      <w:start w:val="1"/>
      <w:numFmt w:val="decimal"/>
      <w:lvlText w:val="%1.%2.%3"/>
      <w:lvlJc w:val="left"/>
      <w:pPr>
        <w:ind w:left="1440" w:hanging="720"/>
      </w:pPr>
      <w:rPr>
        <w:rFonts w:hint="default"/>
        <w:b/>
        <w:sz w:val="33"/>
      </w:rPr>
    </w:lvl>
    <w:lvl w:ilvl="3">
      <w:start w:val="1"/>
      <w:numFmt w:val="decimal"/>
      <w:lvlText w:val="%1.%2.%3.%4"/>
      <w:lvlJc w:val="left"/>
      <w:pPr>
        <w:ind w:left="1440" w:hanging="720"/>
      </w:pPr>
      <w:rPr>
        <w:rFonts w:hint="default"/>
        <w:b/>
        <w:sz w:val="33"/>
      </w:rPr>
    </w:lvl>
    <w:lvl w:ilvl="4">
      <w:start w:val="1"/>
      <w:numFmt w:val="decimal"/>
      <w:lvlText w:val="%1.%2.%3.%4.%5"/>
      <w:lvlJc w:val="left"/>
      <w:pPr>
        <w:ind w:left="1800" w:hanging="1080"/>
      </w:pPr>
      <w:rPr>
        <w:rFonts w:hint="default"/>
        <w:b/>
        <w:sz w:val="33"/>
      </w:rPr>
    </w:lvl>
    <w:lvl w:ilvl="5">
      <w:start w:val="1"/>
      <w:numFmt w:val="decimal"/>
      <w:lvlText w:val="%1.%2.%3.%4.%5.%6"/>
      <w:lvlJc w:val="left"/>
      <w:pPr>
        <w:ind w:left="1800" w:hanging="1080"/>
      </w:pPr>
      <w:rPr>
        <w:rFonts w:hint="default"/>
        <w:b/>
        <w:sz w:val="33"/>
      </w:rPr>
    </w:lvl>
    <w:lvl w:ilvl="6">
      <w:start w:val="1"/>
      <w:numFmt w:val="decimal"/>
      <w:lvlText w:val="%1.%2.%3.%4.%5.%6.%7"/>
      <w:lvlJc w:val="left"/>
      <w:pPr>
        <w:ind w:left="2160" w:hanging="1440"/>
      </w:pPr>
      <w:rPr>
        <w:rFonts w:hint="default"/>
        <w:b/>
        <w:sz w:val="33"/>
      </w:rPr>
    </w:lvl>
    <w:lvl w:ilvl="7">
      <w:start w:val="1"/>
      <w:numFmt w:val="decimal"/>
      <w:lvlText w:val="%1.%2.%3.%4.%5.%6.%7.%8"/>
      <w:lvlJc w:val="left"/>
      <w:pPr>
        <w:ind w:left="2160" w:hanging="1440"/>
      </w:pPr>
      <w:rPr>
        <w:rFonts w:hint="default"/>
        <w:b/>
        <w:sz w:val="33"/>
      </w:rPr>
    </w:lvl>
    <w:lvl w:ilvl="8">
      <w:start w:val="1"/>
      <w:numFmt w:val="decimal"/>
      <w:lvlText w:val="%1.%2.%3.%4.%5.%6.%7.%8.%9"/>
      <w:lvlJc w:val="left"/>
      <w:pPr>
        <w:ind w:left="2520" w:hanging="1800"/>
      </w:pPr>
      <w:rPr>
        <w:rFonts w:hint="default"/>
        <w:b/>
        <w:sz w:val="33"/>
      </w:rPr>
    </w:lvl>
  </w:abstractNum>
  <w:abstractNum w:abstractNumId="1" w15:restartNumberingAfterBreak="0">
    <w:nsid w:val="05FB2929"/>
    <w:multiLevelType w:val="multilevel"/>
    <w:tmpl w:val="704463C6"/>
    <w:lvl w:ilvl="0">
      <w:start w:val="1"/>
      <w:numFmt w:val="decimal"/>
      <w:lvlText w:val="%1."/>
      <w:lvlJc w:val="left"/>
      <w:pPr>
        <w:ind w:left="936" w:hanging="468"/>
      </w:pPr>
      <w:rPr>
        <w:rFonts w:ascii="Play" w:hAnsi="Play" w:hint="default"/>
        <w:b w:val="0"/>
        <w:bCs/>
        <w:sz w:val="21"/>
        <w:szCs w:val="10"/>
      </w:rPr>
    </w:lvl>
    <w:lvl w:ilvl="1">
      <w:start w:val="2"/>
      <w:numFmt w:val="decimal"/>
      <w:lvlText w:val="%1.%2"/>
      <w:lvlJc w:val="left"/>
      <w:pPr>
        <w:ind w:left="936" w:hanging="468"/>
      </w:pPr>
      <w:rPr>
        <w:rFonts w:hint="default"/>
        <w:b/>
        <w:sz w:val="33"/>
      </w:rPr>
    </w:lvl>
    <w:lvl w:ilvl="2">
      <w:start w:val="1"/>
      <w:numFmt w:val="decimal"/>
      <w:lvlText w:val="%1.%2.%3"/>
      <w:lvlJc w:val="left"/>
      <w:pPr>
        <w:ind w:left="1188" w:hanging="720"/>
      </w:pPr>
      <w:rPr>
        <w:rFonts w:hint="default"/>
        <w:b/>
        <w:sz w:val="33"/>
      </w:rPr>
    </w:lvl>
    <w:lvl w:ilvl="3">
      <w:start w:val="1"/>
      <w:numFmt w:val="decimal"/>
      <w:lvlText w:val="%1.%2.%3.%4"/>
      <w:lvlJc w:val="left"/>
      <w:pPr>
        <w:ind w:left="1188" w:hanging="720"/>
      </w:pPr>
      <w:rPr>
        <w:rFonts w:hint="default"/>
        <w:b/>
        <w:sz w:val="33"/>
      </w:rPr>
    </w:lvl>
    <w:lvl w:ilvl="4">
      <w:start w:val="1"/>
      <w:numFmt w:val="decimal"/>
      <w:lvlText w:val="%1.%2.%3.%4.%5"/>
      <w:lvlJc w:val="left"/>
      <w:pPr>
        <w:ind w:left="1548" w:hanging="1080"/>
      </w:pPr>
      <w:rPr>
        <w:rFonts w:hint="default"/>
        <w:b/>
        <w:sz w:val="33"/>
      </w:rPr>
    </w:lvl>
    <w:lvl w:ilvl="5">
      <w:start w:val="1"/>
      <w:numFmt w:val="decimal"/>
      <w:lvlText w:val="%1.%2.%3.%4.%5.%6"/>
      <w:lvlJc w:val="left"/>
      <w:pPr>
        <w:ind w:left="1548" w:hanging="1080"/>
      </w:pPr>
      <w:rPr>
        <w:rFonts w:hint="default"/>
        <w:b/>
        <w:sz w:val="33"/>
      </w:rPr>
    </w:lvl>
    <w:lvl w:ilvl="6">
      <w:start w:val="1"/>
      <w:numFmt w:val="decimal"/>
      <w:lvlText w:val="%1.%2.%3.%4.%5.%6.%7"/>
      <w:lvlJc w:val="left"/>
      <w:pPr>
        <w:ind w:left="1908" w:hanging="1440"/>
      </w:pPr>
      <w:rPr>
        <w:rFonts w:hint="default"/>
        <w:b/>
        <w:sz w:val="33"/>
      </w:rPr>
    </w:lvl>
    <w:lvl w:ilvl="7">
      <w:start w:val="1"/>
      <w:numFmt w:val="decimal"/>
      <w:lvlText w:val="%1.%2.%3.%4.%5.%6.%7.%8"/>
      <w:lvlJc w:val="left"/>
      <w:pPr>
        <w:ind w:left="1908" w:hanging="1440"/>
      </w:pPr>
      <w:rPr>
        <w:rFonts w:hint="default"/>
        <w:b/>
        <w:sz w:val="33"/>
      </w:rPr>
    </w:lvl>
    <w:lvl w:ilvl="8">
      <w:start w:val="1"/>
      <w:numFmt w:val="decimal"/>
      <w:lvlText w:val="%1.%2.%3.%4.%5.%6.%7.%8.%9"/>
      <w:lvlJc w:val="left"/>
      <w:pPr>
        <w:ind w:left="2268" w:hanging="1800"/>
      </w:pPr>
      <w:rPr>
        <w:rFonts w:hint="default"/>
        <w:b/>
        <w:sz w:val="33"/>
      </w:rPr>
    </w:lvl>
  </w:abstractNum>
  <w:abstractNum w:abstractNumId="2" w15:restartNumberingAfterBreak="0">
    <w:nsid w:val="15B27DAA"/>
    <w:multiLevelType w:val="multilevel"/>
    <w:tmpl w:val="6E4024E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17DA3724"/>
    <w:multiLevelType w:val="multilevel"/>
    <w:tmpl w:val="45E60ACC"/>
    <w:lvl w:ilvl="0">
      <w:start w:val="1"/>
      <w:numFmt w:val="bullet"/>
      <w:lvlText w:val="●"/>
      <w:lvlJc w:val="left"/>
      <w:pPr>
        <w:ind w:left="644" w:hanging="360"/>
      </w:pPr>
      <w:rPr>
        <w:rFonts w:ascii="Noto Sans Symbols" w:eastAsia="Noto Sans Symbols" w:hAnsi="Noto Sans Symbols" w:cs="Noto Sans Symbols"/>
      </w:rPr>
    </w:lvl>
    <w:lvl w:ilvl="1">
      <w:numFmt w:val="decimal"/>
      <w:lvlText w:val=""/>
      <w:lvlJc w:val="left"/>
      <w:pPr>
        <w:ind w:left="-76" w:firstLine="0"/>
      </w:pPr>
    </w:lvl>
    <w:lvl w:ilvl="2">
      <w:numFmt w:val="decimal"/>
      <w:lvlText w:val=""/>
      <w:lvlJc w:val="left"/>
      <w:pPr>
        <w:ind w:left="-76" w:firstLine="0"/>
      </w:pPr>
    </w:lvl>
    <w:lvl w:ilvl="3">
      <w:numFmt w:val="decimal"/>
      <w:lvlText w:val=""/>
      <w:lvlJc w:val="left"/>
      <w:pPr>
        <w:ind w:left="-76" w:firstLine="0"/>
      </w:pPr>
    </w:lvl>
    <w:lvl w:ilvl="4">
      <w:numFmt w:val="decimal"/>
      <w:lvlText w:val=""/>
      <w:lvlJc w:val="left"/>
      <w:pPr>
        <w:ind w:left="-76" w:firstLine="0"/>
      </w:pPr>
    </w:lvl>
    <w:lvl w:ilvl="5">
      <w:numFmt w:val="decimal"/>
      <w:lvlText w:val=""/>
      <w:lvlJc w:val="left"/>
      <w:pPr>
        <w:ind w:left="-76" w:firstLine="0"/>
      </w:pPr>
    </w:lvl>
    <w:lvl w:ilvl="6">
      <w:numFmt w:val="decimal"/>
      <w:lvlText w:val=""/>
      <w:lvlJc w:val="left"/>
      <w:pPr>
        <w:ind w:left="-76" w:firstLine="0"/>
      </w:pPr>
    </w:lvl>
    <w:lvl w:ilvl="7">
      <w:numFmt w:val="decimal"/>
      <w:lvlText w:val=""/>
      <w:lvlJc w:val="left"/>
      <w:pPr>
        <w:ind w:left="-76" w:firstLine="0"/>
      </w:pPr>
    </w:lvl>
    <w:lvl w:ilvl="8">
      <w:numFmt w:val="decimal"/>
      <w:lvlText w:val=""/>
      <w:lvlJc w:val="left"/>
      <w:pPr>
        <w:ind w:left="-76" w:firstLine="0"/>
      </w:pPr>
    </w:lvl>
  </w:abstractNum>
  <w:abstractNum w:abstractNumId="4" w15:restartNumberingAfterBreak="0">
    <w:nsid w:val="1DB9765A"/>
    <w:multiLevelType w:val="multilevel"/>
    <w:tmpl w:val="781C58E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1E683277"/>
    <w:multiLevelType w:val="multilevel"/>
    <w:tmpl w:val="9AC62A28"/>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1F3D1A96"/>
    <w:multiLevelType w:val="multilevel"/>
    <w:tmpl w:val="2104DFA2"/>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21C82FD9"/>
    <w:multiLevelType w:val="hybridMultilevel"/>
    <w:tmpl w:val="837CA9D8"/>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8" w15:restartNumberingAfterBreak="0">
    <w:nsid w:val="24E477D7"/>
    <w:multiLevelType w:val="multilevel"/>
    <w:tmpl w:val="925C657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2FE0594B"/>
    <w:multiLevelType w:val="multilevel"/>
    <w:tmpl w:val="C37CFF24"/>
    <w:lvl w:ilvl="0">
      <w:start w:val="4"/>
      <w:numFmt w:val="decimal"/>
      <w:lvlText w:val="%1"/>
      <w:lvlJc w:val="left"/>
      <w:pPr>
        <w:ind w:left="468" w:hanging="468"/>
      </w:pPr>
      <w:rPr>
        <w:rFonts w:hint="default"/>
        <w:b/>
        <w:sz w:val="33"/>
      </w:rPr>
    </w:lvl>
    <w:lvl w:ilvl="1">
      <w:start w:val="2"/>
      <w:numFmt w:val="decimal"/>
      <w:lvlText w:val="%1.%2"/>
      <w:lvlJc w:val="left"/>
      <w:pPr>
        <w:ind w:left="468" w:hanging="468"/>
      </w:pPr>
      <w:rPr>
        <w:rFonts w:hint="default"/>
        <w:b/>
        <w:sz w:val="33"/>
      </w:rPr>
    </w:lvl>
    <w:lvl w:ilvl="2">
      <w:start w:val="1"/>
      <w:numFmt w:val="decimal"/>
      <w:lvlText w:val="%1.%2.%3"/>
      <w:lvlJc w:val="left"/>
      <w:pPr>
        <w:ind w:left="720" w:hanging="720"/>
      </w:pPr>
      <w:rPr>
        <w:rFonts w:hint="default"/>
        <w:b/>
        <w:sz w:val="33"/>
      </w:rPr>
    </w:lvl>
    <w:lvl w:ilvl="3">
      <w:start w:val="1"/>
      <w:numFmt w:val="decimal"/>
      <w:lvlText w:val="%1.%2.%3.%4"/>
      <w:lvlJc w:val="left"/>
      <w:pPr>
        <w:ind w:left="720" w:hanging="720"/>
      </w:pPr>
      <w:rPr>
        <w:rFonts w:hint="default"/>
        <w:b/>
        <w:sz w:val="33"/>
      </w:rPr>
    </w:lvl>
    <w:lvl w:ilvl="4">
      <w:start w:val="1"/>
      <w:numFmt w:val="decimal"/>
      <w:lvlText w:val="%1.%2.%3.%4.%5"/>
      <w:lvlJc w:val="left"/>
      <w:pPr>
        <w:ind w:left="1080" w:hanging="1080"/>
      </w:pPr>
      <w:rPr>
        <w:rFonts w:hint="default"/>
        <w:b/>
        <w:sz w:val="33"/>
      </w:rPr>
    </w:lvl>
    <w:lvl w:ilvl="5">
      <w:start w:val="1"/>
      <w:numFmt w:val="decimal"/>
      <w:lvlText w:val="%1.%2.%3.%4.%5.%6"/>
      <w:lvlJc w:val="left"/>
      <w:pPr>
        <w:ind w:left="1080" w:hanging="1080"/>
      </w:pPr>
      <w:rPr>
        <w:rFonts w:hint="default"/>
        <w:b/>
        <w:sz w:val="33"/>
      </w:rPr>
    </w:lvl>
    <w:lvl w:ilvl="6">
      <w:start w:val="1"/>
      <w:numFmt w:val="decimal"/>
      <w:lvlText w:val="%1.%2.%3.%4.%5.%6.%7"/>
      <w:lvlJc w:val="left"/>
      <w:pPr>
        <w:ind w:left="1440" w:hanging="1440"/>
      </w:pPr>
      <w:rPr>
        <w:rFonts w:hint="default"/>
        <w:b/>
        <w:sz w:val="33"/>
      </w:rPr>
    </w:lvl>
    <w:lvl w:ilvl="7">
      <w:start w:val="1"/>
      <w:numFmt w:val="decimal"/>
      <w:lvlText w:val="%1.%2.%3.%4.%5.%6.%7.%8"/>
      <w:lvlJc w:val="left"/>
      <w:pPr>
        <w:ind w:left="1440" w:hanging="1440"/>
      </w:pPr>
      <w:rPr>
        <w:rFonts w:hint="default"/>
        <w:b/>
        <w:sz w:val="33"/>
      </w:rPr>
    </w:lvl>
    <w:lvl w:ilvl="8">
      <w:start w:val="1"/>
      <w:numFmt w:val="decimal"/>
      <w:lvlText w:val="%1.%2.%3.%4.%5.%6.%7.%8.%9"/>
      <w:lvlJc w:val="left"/>
      <w:pPr>
        <w:ind w:left="1800" w:hanging="1800"/>
      </w:pPr>
      <w:rPr>
        <w:rFonts w:hint="default"/>
        <w:b/>
        <w:sz w:val="33"/>
      </w:rPr>
    </w:lvl>
  </w:abstractNum>
  <w:abstractNum w:abstractNumId="10" w15:restartNumberingAfterBreak="0">
    <w:nsid w:val="37E754BF"/>
    <w:multiLevelType w:val="multilevel"/>
    <w:tmpl w:val="E7065F5E"/>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3DB87208"/>
    <w:multiLevelType w:val="multilevel"/>
    <w:tmpl w:val="C94E5D8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 w15:restartNumberingAfterBreak="0">
    <w:nsid w:val="3F9A3629"/>
    <w:multiLevelType w:val="multilevel"/>
    <w:tmpl w:val="7D80348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 w15:restartNumberingAfterBreak="0">
    <w:nsid w:val="496E3C14"/>
    <w:multiLevelType w:val="hybridMultilevel"/>
    <w:tmpl w:val="39328DB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5A1D5AF6"/>
    <w:multiLevelType w:val="multilevel"/>
    <w:tmpl w:val="F51847C8"/>
    <w:lvl w:ilvl="0">
      <w:start w:val="1"/>
      <w:numFmt w:val="bullet"/>
      <w:lvlText w:val="o"/>
      <w:lvlJc w:val="left"/>
      <w:pPr>
        <w:ind w:left="1188" w:hanging="468"/>
      </w:pPr>
      <w:rPr>
        <w:rFonts w:ascii="Courier New" w:hAnsi="Courier New" w:cs="Courier New" w:hint="default"/>
        <w:b w:val="0"/>
        <w:bCs/>
        <w:sz w:val="21"/>
        <w:szCs w:val="10"/>
      </w:rPr>
    </w:lvl>
    <w:lvl w:ilvl="1">
      <w:start w:val="2"/>
      <w:numFmt w:val="decimal"/>
      <w:lvlText w:val="%1.%2"/>
      <w:lvlJc w:val="left"/>
      <w:pPr>
        <w:ind w:left="1188" w:hanging="468"/>
      </w:pPr>
      <w:rPr>
        <w:rFonts w:hint="default"/>
        <w:b/>
        <w:sz w:val="33"/>
      </w:rPr>
    </w:lvl>
    <w:lvl w:ilvl="2">
      <w:start w:val="1"/>
      <w:numFmt w:val="decimal"/>
      <w:lvlText w:val="%1.%2.%3"/>
      <w:lvlJc w:val="left"/>
      <w:pPr>
        <w:ind w:left="1440" w:hanging="720"/>
      </w:pPr>
      <w:rPr>
        <w:rFonts w:hint="default"/>
        <w:b/>
        <w:sz w:val="33"/>
      </w:rPr>
    </w:lvl>
    <w:lvl w:ilvl="3">
      <w:start w:val="1"/>
      <w:numFmt w:val="decimal"/>
      <w:lvlText w:val="%1.%2.%3.%4"/>
      <w:lvlJc w:val="left"/>
      <w:pPr>
        <w:ind w:left="1440" w:hanging="720"/>
      </w:pPr>
      <w:rPr>
        <w:rFonts w:hint="default"/>
        <w:b/>
        <w:sz w:val="33"/>
      </w:rPr>
    </w:lvl>
    <w:lvl w:ilvl="4">
      <w:start w:val="1"/>
      <w:numFmt w:val="decimal"/>
      <w:lvlText w:val="%1.%2.%3.%4.%5"/>
      <w:lvlJc w:val="left"/>
      <w:pPr>
        <w:ind w:left="1800" w:hanging="1080"/>
      </w:pPr>
      <w:rPr>
        <w:rFonts w:hint="default"/>
        <w:b/>
        <w:sz w:val="33"/>
      </w:rPr>
    </w:lvl>
    <w:lvl w:ilvl="5">
      <w:start w:val="1"/>
      <w:numFmt w:val="decimal"/>
      <w:lvlText w:val="%1.%2.%3.%4.%5.%6"/>
      <w:lvlJc w:val="left"/>
      <w:pPr>
        <w:ind w:left="1800" w:hanging="1080"/>
      </w:pPr>
      <w:rPr>
        <w:rFonts w:hint="default"/>
        <w:b/>
        <w:sz w:val="33"/>
      </w:rPr>
    </w:lvl>
    <w:lvl w:ilvl="6">
      <w:start w:val="1"/>
      <w:numFmt w:val="decimal"/>
      <w:lvlText w:val="%1.%2.%3.%4.%5.%6.%7"/>
      <w:lvlJc w:val="left"/>
      <w:pPr>
        <w:ind w:left="2160" w:hanging="1440"/>
      </w:pPr>
      <w:rPr>
        <w:rFonts w:hint="default"/>
        <w:b/>
        <w:sz w:val="33"/>
      </w:rPr>
    </w:lvl>
    <w:lvl w:ilvl="7">
      <w:start w:val="1"/>
      <w:numFmt w:val="decimal"/>
      <w:lvlText w:val="%1.%2.%3.%4.%5.%6.%7.%8"/>
      <w:lvlJc w:val="left"/>
      <w:pPr>
        <w:ind w:left="2160" w:hanging="1440"/>
      </w:pPr>
      <w:rPr>
        <w:rFonts w:hint="default"/>
        <w:b/>
        <w:sz w:val="33"/>
      </w:rPr>
    </w:lvl>
    <w:lvl w:ilvl="8">
      <w:start w:val="1"/>
      <w:numFmt w:val="decimal"/>
      <w:lvlText w:val="%1.%2.%3.%4.%5.%6.%7.%8.%9"/>
      <w:lvlJc w:val="left"/>
      <w:pPr>
        <w:ind w:left="2520" w:hanging="1800"/>
      </w:pPr>
      <w:rPr>
        <w:rFonts w:hint="default"/>
        <w:b/>
        <w:sz w:val="33"/>
      </w:rPr>
    </w:lvl>
  </w:abstractNum>
  <w:abstractNum w:abstractNumId="15" w15:restartNumberingAfterBreak="0">
    <w:nsid w:val="5FA50F71"/>
    <w:multiLevelType w:val="multilevel"/>
    <w:tmpl w:val="25C2F374"/>
    <w:lvl w:ilvl="0">
      <w:start w:val="8"/>
      <w:numFmt w:val="decimal"/>
      <w:lvlText w:val="%1"/>
      <w:lvlJc w:val="left"/>
      <w:pPr>
        <w:ind w:left="468" w:hanging="468"/>
      </w:pPr>
      <w:rPr>
        <w:rFonts w:hint="default"/>
        <w:b/>
        <w:sz w:val="33"/>
      </w:rPr>
    </w:lvl>
    <w:lvl w:ilvl="1">
      <w:start w:val="1"/>
      <w:numFmt w:val="decimal"/>
      <w:lvlText w:val="%1.%2"/>
      <w:lvlJc w:val="left"/>
      <w:pPr>
        <w:ind w:left="468" w:hanging="468"/>
      </w:pPr>
      <w:rPr>
        <w:rFonts w:hint="default"/>
        <w:b/>
        <w:sz w:val="33"/>
      </w:rPr>
    </w:lvl>
    <w:lvl w:ilvl="2">
      <w:start w:val="1"/>
      <w:numFmt w:val="decimal"/>
      <w:lvlText w:val="%1.%2.%3"/>
      <w:lvlJc w:val="left"/>
      <w:pPr>
        <w:ind w:left="720" w:hanging="720"/>
      </w:pPr>
      <w:rPr>
        <w:rFonts w:hint="default"/>
        <w:b/>
        <w:sz w:val="33"/>
      </w:rPr>
    </w:lvl>
    <w:lvl w:ilvl="3">
      <w:start w:val="1"/>
      <w:numFmt w:val="decimal"/>
      <w:lvlText w:val="%1.%2.%3.%4"/>
      <w:lvlJc w:val="left"/>
      <w:pPr>
        <w:ind w:left="720" w:hanging="720"/>
      </w:pPr>
      <w:rPr>
        <w:rFonts w:hint="default"/>
        <w:b/>
        <w:sz w:val="33"/>
      </w:rPr>
    </w:lvl>
    <w:lvl w:ilvl="4">
      <w:start w:val="1"/>
      <w:numFmt w:val="decimal"/>
      <w:lvlText w:val="%1.%2.%3.%4.%5"/>
      <w:lvlJc w:val="left"/>
      <w:pPr>
        <w:ind w:left="1080" w:hanging="1080"/>
      </w:pPr>
      <w:rPr>
        <w:rFonts w:hint="default"/>
        <w:b/>
        <w:sz w:val="33"/>
      </w:rPr>
    </w:lvl>
    <w:lvl w:ilvl="5">
      <w:start w:val="1"/>
      <w:numFmt w:val="decimal"/>
      <w:lvlText w:val="%1.%2.%3.%4.%5.%6"/>
      <w:lvlJc w:val="left"/>
      <w:pPr>
        <w:ind w:left="1080" w:hanging="1080"/>
      </w:pPr>
      <w:rPr>
        <w:rFonts w:hint="default"/>
        <w:b/>
        <w:sz w:val="33"/>
      </w:rPr>
    </w:lvl>
    <w:lvl w:ilvl="6">
      <w:start w:val="1"/>
      <w:numFmt w:val="decimal"/>
      <w:lvlText w:val="%1.%2.%3.%4.%5.%6.%7"/>
      <w:lvlJc w:val="left"/>
      <w:pPr>
        <w:ind w:left="1440" w:hanging="1440"/>
      </w:pPr>
      <w:rPr>
        <w:rFonts w:hint="default"/>
        <w:b/>
        <w:sz w:val="33"/>
      </w:rPr>
    </w:lvl>
    <w:lvl w:ilvl="7">
      <w:start w:val="1"/>
      <w:numFmt w:val="decimal"/>
      <w:lvlText w:val="%1.%2.%3.%4.%5.%6.%7.%8"/>
      <w:lvlJc w:val="left"/>
      <w:pPr>
        <w:ind w:left="1440" w:hanging="1440"/>
      </w:pPr>
      <w:rPr>
        <w:rFonts w:hint="default"/>
        <w:b/>
        <w:sz w:val="33"/>
      </w:rPr>
    </w:lvl>
    <w:lvl w:ilvl="8">
      <w:start w:val="1"/>
      <w:numFmt w:val="decimal"/>
      <w:lvlText w:val="%1.%2.%3.%4.%5.%6.%7.%8.%9"/>
      <w:lvlJc w:val="left"/>
      <w:pPr>
        <w:ind w:left="1800" w:hanging="1800"/>
      </w:pPr>
      <w:rPr>
        <w:rFonts w:hint="default"/>
        <w:b/>
        <w:sz w:val="33"/>
      </w:rPr>
    </w:lvl>
  </w:abstractNum>
  <w:abstractNum w:abstractNumId="16" w15:restartNumberingAfterBreak="0">
    <w:nsid w:val="6B9E5E7C"/>
    <w:multiLevelType w:val="multilevel"/>
    <w:tmpl w:val="F51847C8"/>
    <w:lvl w:ilvl="0">
      <w:start w:val="1"/>
      <w:numFmt w:val="bullet"/>
      <w:lvlText w:val="o"/>
      <w:lvlJc w:val="left"/>
      <w:pPr>
        <w:ind w:left="1188" w:hanging="468"/>
      </w:pPr>
      <w:rPr>
        <w:rFonts w:ascii="Courier New" w:hAnsi="Courier New" w:cs="Courier New" w:hint="default"/>
        <w:b w:val="0"/>
        <w:bCs/>
        <w:sz w:val="21"/>
        <w:szCs w:val="10"/>
      </w:rPr>
    </w:lvl>
    <w:lvl w:ilvl="1">
      <w:start w:val="2"/>
      <w:numFmt w:val="decimal"/>
      <w:lvlText w:val="%1.%2"/>
      <w:lvlJc w:val="left"/>
      <w:pPr>
        <w:ind w:left="1188" w:hanging="468"/>
      </w:pPr>
      <w:rPr>
        <w:rFonts w:hint="default"/>
        <w:b/>
        <w:sz w:val="33"/>
      </w:rPr>
    </w:lvl>
    <w:lvl w:ilvl="2">
      <w:start w:val="1"/>
      <w:numFmt w:val="decimal"/>
      <w:lvlText w:val="%1.%2.%3"/>
      <w:lvlJc w:val="left"/>
      <w:pPr>
        <w:ind w:left="1440" w:hanging="720"/>
      </w:pPr>
      <w:rPr>
        <w:rFonts w:hint="default"/>
        <w:b/>
        <w:sz w:val="33"/>
      </w:rPr>
    </w:lvl>
    <w:lvl w:ilvl="3">
      <w:start w:val="1"/>
      <w:numFmt w:val="decimal"/>
      <w:lvlText w:val="%1.%2.%3.%4"/>
      <w:lvlJc w:val="left"/>
      <w:pPr>
        <w:ind w:left="1440" w:hanging="720"/>
      </w:pPr>
      <w:rPr>
        <w:rFonts w:hint="default"/>
        <w:b/>
        <w:sz w:val="33"/>
      </w:rPr>
    </w:lvl>
    <w:lvl w:ilvl="4">
      <w:start w:val="1"/>
      <w:numFmt w:val="decimal"/>
      <w:lvlText w:val="%1.%2.%3.%4.%5"/>
      <w:lvlJc w:val="left"/>
      <w:pPr>
        <w:ind w:left="1800" w:hanging="1080"/>
      </w:pPr>
      <w:rPr>
        <w:rFonts w:hint="default"/>
        <w:b/>
        <w:sz w:val="33"/>
      </w:rPr>
    </w:lvl>
    <w:lvl w:ilvl="5">
      <w:start w:val="1"/>
      <w:numFmt w:val="decimal"/>
      <w:lvlText w:val="%1.%2.%3.%4.%5.%6"/>
      <w:lvlJc w:val="left"/>
      <w:pPr>
        <w:ind w:left="1800" w:hanging="1080"/>
      </w:pPr>
      <w:rPr>
        <w:rFonts w:hint="default"/>
        <w:b/>
        <w:sz w:val="33"/>
      </w:rPr>
    </w:lvl>
    <w:lvl w:ilvl="6">
      <w:start w:val="1"/>
      <w:numFmt w:val="decimal"/>
      <w:lvlText w:val="%1.%2.%3.%4.%5.%6.%7"/>
      <w:lvlJc w:val="left"/>
      <w:pPr>
        <w:ind w:left="2160" w:hanging="1440"/>
      </w:pPr>
      <w:rPr>
        <w:rFonts w:hint="default"/>
        <w:b/>
        <w:sz w:val="33"/>
      </w:rPr>
    </w:lvl>
    <w:lvl w:ilvl="7">
      <w:start w:val="1"/>
      <w:numFmt w:val="decimal"/>
      <w:lvlText w:val="%1.%2.%3.%4.%5.%6.%7.%8"/>
      <w:lvlJc w:val="left"/>
      <w:pPr>
        <w:ind w:left="2160" w:hanging="1440"/>
      </w:pPr>
      <w:rPr>
        <w:rFonts w:hint="default"/>
        <w:b/>
        <w:sz w:val="33"/>
      </w:rPr>
    </w:lvl>
    <w:lvl w:ilvl="8">
      <w:start w:val="1"/>
      <w:numFmt w:val="decimal"/>
      <w:lvlText w:val="%1.%2.%3.%4.%5.%6.%7.%8.%9"/>
      <w:lvlJc w:val="left"/>
      <w:pPr>
        <w:ind w:left="2520" w:hanging="1800"/>
      </w:pPr>
      <w:rPr>
        <w:rFonts w:hint="default"/>
        <w:b/>
        <w:sz w:val="33"/>
      </w:rPr>
    </w:lvl>
  </w:abstractNum>
  <w:abstractNum w:abstractNumId="17" w15:restartNumberingAfterBreak="0">
    <w:nsid w:val="736253D2"/>
    <w:multiLevelType w:val="multilevel"/>
    <w:tmpl w:val="BAEC9A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45544B7"/>
    <w:multiLevelType w:val="multilevel"/>
    <w:tmpl w:val="DC0C74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284FDE"/>
    <w:multiLevelType w:val="hybridMultilevel"/>
    <w:tmpl w:val="8C74C066"/>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15:restartNumberingAfterBreak="0">
    <w:nsid w:val="7AD50C0A"/>
    <w:multiLevelType w:val="multilevel"/>
    <w:tmpl w:val="281C0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FF7008A"/>
    <w:multiLevelType w:val="hybridMultilevel"/>
    <w:tmpl w:val="BD9A3066"/>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num w:numId="1" w16cid:durableId="1456020474">
    <w:abstractNumId w:val="12"/>
  </w:num>
  <w:num w:numId="2" w16cid:durableId="1002852769">
    <w:abstractNumId w:val="8"/>
  </w:num>
  <w:num w:numId="3" w16cid:durableId="489638082">
    <w:abstractNumId w:val="2"/>
  </w:num>
  <w:num w:numId="4" w16cid:durableId="860124">
    <w:abstractNumId w:val="3"/>
  </w:num>
  <w:num w:numId="5" w16cid:durableId="253901543">
    <w:abstractNumId w:val="5"/>
  </w:num>
  <w:num w:numId="6" w16cid:durableId="1177813442">
    <w:abstractNumId w:val="10"/>
  </w:num>
  <w:num w:numId="7" w16cid:durableId="664169666">
    <w:abstractNumId w:val="11"/>
  </w:num>
  <w:num w:numId="8" w16cid:durableId="380324353">
    <w:abstractNumId w:val="4"/>
  </w:num>
  <w:num w:numId="9" w16cid:durableId="170687758">
    <w:abstractNumId w:val="6"/>
  </w:num>
  <w:num w:numId="10" w16cid:durableId="1550872378">
    <w:abstractNumId w:val="13"/>
  </w:num>
  <w:num w:numId="11" w16cid:durableId="1443645108">
    <w:abstractNumId w:val="9"/>
  </w:num>
  <w:num w:numId="12" w16cid:durableId="1366172355">
    <w:abstractNumId w:val="1"/>
  </w:num>
  <w:num w:numId="13" w16cid:durableId="591817688">
    <w:abstractNumId w:val="21"/>
  </w:num>
  <w:num w:numId="14" w16cid:durableId="59253281">
    <w:abstractNumId w:val="19"/>
  </w:num>
  <w:num w:numId="15" w16cid:durableId="450561915">
    <w:abstractNumId w:val="7"/>
  </w:num>
  <w:num w:numId="16" w16cid:durableId="280192640">
    <w:abstractNumId w:val="16"/>
  </w:num>
  <w:num w:numId="17" w16cid:durableId="267590513">
    <w:abstractNumId w:val="0"/>
  </w:num>
  <w:num w:numId="18" w16cid:durableId="109863787">
    <w:abstractNumId w:val="14"/>
  </w:num>
  <w:num w:numId="19" w16cid:durableId="1928271208">
    <w:abstractNumId w:val="17"/>
  </w:num>
  <w:num w:numId="20" w16cid:durableId="545916304">
    <w:abstractNumId w:val="18"/>
  </w:num>
  <w:num w:numId="21" w16cid:durableId="778646311">
    <w:abstractNumId w:val="15"/>
  </w:num>
  <w:num w:numId="22" w16cid:durableId="191150401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96"/>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36E1"/>
    <w:rsid w:val="000223F2"/>
    <w:rsid w:val="0007696E"/>
    <w:rsid w:val="000B36E1"/>
    <w:rsid w:val="000D6256"/>
    <w:rsid w:val="00116940"/>
    <w:rsid w:val="00193E5A"/>
    <w:rsid w:val="00246A70"/>
    <w:rsid w:val="002C3D4D"/>
    <w:rsid w:val="00325505"/>
    <w:rsid w:val="003663D2"/>
    <w:rsid w:val="00382657"/>
    <w:rsid w:val="004C6C49"/>
    <w:rsid w:val="00520260"/>
    <w:rsid w:val="00526789"/>
    <w:rsid w:val="005A02C3"/>
    <w:rsid w:val="00665782"/>
    <w:rsid w:val="006709C9"/>
    <w:rsid w:val="006856C0"/>
    <w:rsid w:val="006B4ADE"/>
    <w:rsid w:val="00702462"/>
    <w:rsid w:val="00794B01"/>
    <w:rsid w:val="007C558F"/>
    <w:rsid w:val="00882A93"/>
    <w:rsid w:val="008E5BD2"/>
    <w:rsid w:val="008F3C76"/>
    <w:rsid w:val="00911BD5"/>
    <w:rsid w:val="00A32844"/>
    <w:rsid w:val="00AC31F2"/>
    <w:rsid w:val="00B81844"/>
    <w:rsid w:val="00CE6C70"/>
    <w:rsid w:val="00D35B4D"/>
    <w:rsid w:val="00DD2FFF"/>
    <w:rsid w:val="00DE72A1"/>
    <w:rsid w:val="00E23992"/>
    <w:rsid w:val="00E26A20"/>
    <w:rsid w:val="00F814D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CEA41D"/>
  <w15:docId w15:val="{7364E2ED-81E3-4893-A5B6-09BD4FC89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rgia" w:eastAsia="Georgia" w:hAnsi="Georgia" w:cs="Georgia"/>
        <w:sz w:val="21"/>
        <w:szCs w:val="21"/>
        <w:lang w:val="en" w:eastAsia="es-E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outlineLvl w:val="0"/>
    </w:pPr>
    <w:rPr>
      <w:b/>
      <w:bCs/>
      <w:sz w:val="48"/>
      <w:szCs w:val="48"/>
    </w:rPr>
  </w:style>
  <w:style w:type="paragraph" w:styleId="Titolo2">
    <w:name w:val="heading 2"/>
    <w:basedOn w:val="Normale"/>
    <w:next w:val="Normale"/>
    <w:uiPriority w:val="9"/>
    <w:semiHidden/>
    <w:unhideWhenUsed/>
    <w:qFormat/>
    <w:pPr>
      <w:keepNext/>
      <w:keepLines/>
      <w:spacing w:before="360" w:after="80"/>
      <w:outlineLvl w:val="1"/>
    </w:pPr>
    <w:rPr>
      <w:b/>
      <w:bCs/>
      <w:sz w:val="36"/>
      <w:szCs w:val="36"/>
    </w:rPr>
  </w:style>
  <w:style w:type="paragraph" w:styleId="Titolo3">
    <w:name w:val="heading 3"/>
    <w:basedOn w:val="Normale"/>
    <w:next w:val="Normale"/>
    <w:uiPriority w:val="9"/>
    <w:semiHidden/>
    <w:unhideWhenUsed/>
    <w:qFormat/>
    <w:pPr>
      <w:keepNext/>
      <w:keepLines/>
      <w:spacing w:before="280" w:after="80"/>
      <w:outlineLvl w:val="2"/>
    </w:pPr>
    <w:rPr>
      <w:b/>
      <w:bCs/>
      <w:sz w:val="28"/>
      <w:szCs w:val="28"/>
    </w:rPr>
  </w:style>
  <w:style w:type="paragraph" w:styleId="Titolo4">
    <w:name w:val="heading 4"/>
    <w:basedOn w:val="Normale"/>
    <w:next w:val="Normale"/>
    <w:uiPriority w:val="9"/>
    <w:semiHidden/>
    <w:unhideWhenUsed/>
    <w:qFormat/>
    <w:pPr>
      <w:keepNext/>
      <w:keepLines/>
      <w:spacing w:before="240" w:after="40"/>
      <w:outlineLvl w:val="3"/>
    </w:pPr>
    <w:rPr>
      <w:b/>
      <w:bCs/>
      <w:sz w:val="24"/>
      <w:szCs w:val="24"/>
    </w:rPr>
  </w:style>
  <w:style w:type="paragraph" w:styleId="Titolo5">
    <w:name w:val="heading 5"/>
    <w:basedOn w:val="Normale"/>
    <w:next w:val="Normale"/>
    <w:uiPriority w:val="9"/>
    <w:semiHidden/>
    <w:unhideWhenUsed/>
    <w:qFormat/>
    <w:pPr>
      <w:keepNext/>
      <w:keepLines/>
      <w:spacing w:before="220" w:after="40"/>
      <w:outlineLvl w:val="4"/>
    </w:pPr>
    <w:rPr>
      <w:b/>
      <w:bCs/>
      <w:sz w:val="22"/>
      <w:szCs w:val="22"/>
    </w:rPr>
  </w:style>
  <w:style w:type="paragraph" w:styleId="Titolo6">
    <w:name w:val="heading 6"/>
    <w:basedOn w:val="Normale"/>
    <w:next w:val="Normale"/>
    <w:uiPriority w:val="9"/>
    <w:semiHidden/>
    <w:unhideWhenUsed/>
    <w:qFormat/>
    <w:pPr>
      <w:keepNext/>
      <w:keepLines/>
      <w:spacing w:before="200" w:after="40"/>
      <w:outlineLvl w:val="5"/>
    </w:pPr>
    <w:rPr>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before="480"/>
    </w:pPr>
    <w:rPr>
      <w:b/>
      <w:bCs/>
      <w:sz w:val="72"/>
      <w:szCs w:val="72"/>
    </w:rPr>
  </w:style>
  <w:style w:type="character" w:customStyle="1" w:styleId="VerbatimChar">
    <w:name w:val="Verbatim Char"/>
    <w:rPr>
      <w:rFonts w:ascii="Consolas" w:hAnsi="Consolas"/>
      <w:sz w:val="22"/>
    </w:rPr>
  </w:style>
  <w:style w:type="table" w:customStyle="1" w:styleId="NormalGrid">
    <w:name w:val="Normal Grid"/>
    <w:basedOn w:val="Tabellanormale"/>
    <w:uiPriority w:val="39"/>
    <w:pPr>
      <w:spacing w:after="0"/>
    </w:pPr>
    <w:tblPr>
      <w:tblCellMar>
        <w:top w:w="80" w:type="dxa"/>
        <w:left w:w="160" w:type="dxa"/>
        <w:bottom w:w="80" w:type="dxa"/>
        <w:right w:w="160" w:type="dxa"/>
      </w:tblCellMar>
    </w:tblPr>
  </w:style>
  <w:style w:type="paragraph" w:styleId="Sottotitolo">
    <w:name w:val="Subtitle"/>
    <w:basedOn w:val="Normale"/>
    <w:next w:val="Normale"/>
    <w:uiPriority w:val="11"/>
    <w:qFormat/>
    <w:pPr>
      <w:keepNext/>
      <w:keepLines/>
      <w:spacing w:before="360" w:after="80"/>
    </w:pPr>
    <w:rPr>
      <w:i/>
      <w:iCs/>
      <w:color w:val="666666"/>
      <w:sz w:val="48"/>
      <w:szCs w:val="48"/>
    </w:rPr>
  </w:style>
  <w:style w:type="table" w:customStyle="1" w:styleId="a">
    <w:basedOn w:val="TableNormal"/>
    <w:pPr>
      <w:spacing w:after="0"/>
    </w:pPr>
    <w:tblPr>
      <w:tblStyleRowBandSize w:val="1"/>
      <w:tblStyleColBandSize w:val="1"/>
      <w:tblCellMar>
        <w:top w:w="80" w:type="dxa"/>
        <w:left w:w="160" w:type="dxa"/>
        <w:bottom w:w="80" w:type="dxa"/>
        <w:right w:w="160" w:type="dxa"/>
      </w:tblCellMar>
    </w:tblPr>
  </w:style>
  <w:style w:type="table" w:customStyle="1" w:styleId="a0">
    <w:basedOn w:val="TableNormal"/>
    <w:pPr>
      <w:spacing w:after="0"/>
    </w:pPr>
    <w:tblPr>
      <w:tblStyleRowBandSize w:val="1"/>
      <w:tblStyleColBandSize w:val="1"/>
      <w:tblCellMar>
        <w:top w:w="80" w:type="dxa"/>
        <w:left w:w="160" w:type="dxa"/>
        <w:bottom w:w="80" w:type="dxa"/>
        <w:right w:w="160" w:type="dxa"/>
      </w:tblCellMar>
    </w:tblPr>
  </w:style>
  <w:style w:type="table" w:customStyle="1" w:styleId="a1">
    <w:basedOn w:val="TableNormal"/>
    <w:pPr>
      <w:spacing w:after="0"/>
    </w:pPr>
    <w:tblPr>
      <w:tblStyleRowBandSize w:val="1"/>
      <w:tblStyleColBandSize w:val="1"/>
      <w:tblCellMar>
        <w:top w:w="80" w:type="dxa"/>
        <w:left w:w="160" w:type="dxa"/>
        <w:bottom w:w="80" w:type="dxa"/>
        <w:right w:w="160" w:type="dxa"/>
      </w:tblCellMar>
    </w:tblPr>
  </w:style>
  <w:style w:type="table" w:customStyle="1" w:styleId="a2">
    <w:basedOn w:val="TableNormal"/>
    <w:pPr>
      <w:spacing w:after="0"/>
    </w:pPr>
    <w:tblPr>
      <w:tblStyleRowBandSize w:val="1"/>
      <w:tblStyleColBandSize w:val="1"/>
      <w:tblCellMar>
        <w:top w:w="80" w:type="dxa"/>
        <w:left w:w="160" w:type="dxa"/>
        <w:bottom w:w="80" w:type="dxa"/>
        <w:right w:w="160" w:type="dxa"/>
      </w:tblCellMar>
    </w:tblPr>
  </w:style>
  <w:style w:type="table" w:customStyle="1" w:styleId="a3">
    <w:basedOn w:val="TableNormal"/>
    <w:pPr>
      <w:spacing w:after="0"/>
    </w:pPr>
    <w:tblPr>
      <w:tblStyleRowBandSize w:val="1"/>
      <w:tblStyleColBandSize w:val="1"/>
      <w:tblCellMar>
        <w:top w:w="80" w:type="dxa"/>
        <w:left w:w="160" w:type="dxa"/>
        <w:bottom w:w="80" w:type="dxa"/>
        <w:right w:w="160" w:type="dxa"/>
      </w:tblCellMar>
    </w:tblPr>
  </w:style>
  <w:style w:type="table" w:customStyle="1" w:styleId="a4">
    <w:basedOn w:val="TableNormal"/>
    <w:pPr>
      <w:spacing w:after="0"/>
    </w:pPr>
    <w:tblPr>
      <w:tblStyleRowBandSize w:val="1"/>
      <w:tblStyleColBandSize w:val="1"/>
      <w:tblCellMar>
        <w:top w:w="80" w:type="dxa"/>
        <w:left w:w="160" w:type="dxa"/>
        <w:bottom w:w="80" w:type="dxa"/>
        <w:right w:w="160" w:type="dxa"/>
      </w:tblCellMar>
    </w:tblPr>
  </w:style>
  <w:style w:type="table" w:customStyle="1" w:styleId="a5">
    <w:basedOn w:val="TableNormal"/>
    <w:pPr>
      <w:spacing w:after="0"/>
    </w:pPr>
    <w:tblPr>
      <w:tblStyleRowBandSize w:val="1"/>
      <w:tblStyleColBandSize w:val="1"/>
      <w:tblCellMar>
        <w:top w:w="80" w:type="dxa"/>
        <w:left w:w="160" w:type="dxa"/>
        <w:bottom w:w="80" w:type="dxa"/>
        <w:right w:w="160" w:type="dxa"/>
      </w:tblCellMar>
    </w:tblPr>
  </w:style>
  <w:style w:type="table" w:customStyle="1" w:styleId="a6">
    <w:basedOn w:val="TableNormal"/>
    <w:pPr>
      <w:spacing w:after="0"/>
    </w:pPr>
    <w:tblPr>
      <w:tblStyleRowBandSize w:val="1"/>
      <w:tblStyleColBandSize w:val="1"/>
      <w:tblCellMar>
        <w:top w:w="80" w:type="dxa"/>
        <w:left w:w="160" w:type="dxa"/>
        <w:bottom w:w="80" w:type="dxa"/>
        <w:right w:w="160" w:type="dxa"/>
      </w:tblCellMar>
    </w:tblPr>
  </w:style>
  <w:style w:type="paragraph" w:styleId="Paragrafoelenco">
    <w:name w:val="List Paragraph"/>
    <w:basedOn w:val="Normale"/>
    <w:uiPriority w:val="34"/>
    <w:qFormat/>
    <w:rsid w:val="00520260"/>
    <w:pPr>
      <w:ind w:left="720"/>
      <w:contextualSpacing/>
    </w:pPr>
  </w:style>
  <w:style w:type="paragraph" w:styleId="Nessunaspaziatura">
    <w:name w:val="No Spacing"/>
    <w:uiPriority w:val="1"/>
    <w:qFormat/>
    <w:rsid w:val="00193E5A"/>
    <w:pPr>
      <w:spacing w:after="0"/>
    </w:pPr>
  </w:style>
  <w:style w:type="character" w:styleId="Rimandocommento">
    <w:name w:val="annotation reference"/>
    <w:basedOn w:val="Carpredefinitoparagrafo"/>
    <w:uiPriority w:val="99"/>
    <w:semiHidden/>
    <w:unhideWhenUsed/>
    <w:rsid w:val="008E5BD2"/>
    <w:rPr>
      <w:sz w:val="16"/>
      <w:szCs w:val="16"/>
    </w:rPr>
  </w:style>
  <w:style w:type="paragraph" w:styleId="Testocommento">
    <w:name w:val="annotation text"/>
    <w:basedOn w:val="Normale"/>
    <w:link w:val="TestocommentoCarattere"/>
    <w:uiPriority w:val="99"/>
    <w:semiHidden/>
    <w:unhideWhenUsed/>
    <w:rsid w:val="008E5BD2"/>
    <w:rPr>
      <w:sz w:val="20"/>
      <w:szCs w:val="20"/>
    </w:rPr>
  </w:style>
  <w:style w:type="character" w:customStyle="1" w:styleId="TestocommentoCarattere">
    <w:name w:val="Testo commento Carattere"/>
    <w:basedOn w:val="Carpredefinitoparagrafo"/>
    <w:link w:val="Testocommento"/>
    <w:uiPriority w:val="99"/>
    <w:semiHidden/>
    <w:rsid w:val="008E5BD2"/>
    <w:rPr>
      <w:sz w:val="20"/>
      <w:szCs w:val="20"/>
    </w:rPr>
  </w:style>
  <w:style w:type="paragraph" w:styleId="Soggettocommento">
    <w:name w:val="annotation subject"/>
    <w:basedOn w:val="Testocommento"/>
    <w:next w:val="Testocommento"/>
    <w:link w:val="SoggettocommentoCarattere"/>
    <w:uiPriority w:val="99"/>
    <w:semiHidden/>
    <w:unhideWhenUsed/>
    <w:rsid w:val="008E5BD2"/>
    <w:rPr>
      <w:b/>
      <w:bCs/>
    </w:rPr>
  </w:style>
  <w:style w:type="character" w:customStyle="1" w:styleId="SoggettocommentoCarattere">
    <w:name w:val="Soggetto commento Carattere"/>
    <w:basedOn w:val="TestocommentoCarattere"/>
    <w:link w:val="Soggettocommento"/>
    <w:uiPriority w:val="99"/>
    <w:semiHidden/>
    <w:rsid w:val="008E5BD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TjFKTvImfswyBzQnWCdCJnZOZg==">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12</Pages>
  <Words>2654</Words>
  <Characters>16432</Characters>
  <Application>Microsoft Office Word</Application>
  <DocSecurity>0</DocSecurity>
  <Lines>657</Lines>
  <Paragraphs>360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html-to-docx</dc:creator>
  <cp:lastModifiedBy>Enrico Anghileri</cp:lastModifiedBy>
  <cp:revision>21</cp:revision>
  <dcterms:created xsi:type="dcterms:W3CDTF">2026-04-10T12:54:00Z</dcterms:created>
  <dcterms:modified xsi:type="dcterms:W3CDTF">2026-05-28T13:43:00Z</dcterms:modified>
</cp:coreProperties>
</file>